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AD395" w14:textId="77777777" w:rsidR="0082309D" w:rsidRDefault="0082309D" w:rsidP="009D6E0E">
      <w:pPr>
        <w:spacing w:line="240" w:lineRule="atLeast"/>
        <w:jc w:val="center"/>
        <w:rPr>
          <w:rFonts w:ascii="Calibri" w:hAnsi="Calibri" w:cs="Calibri"/>
          <w:b/>
          <w:sz w:val="22"/>
          <w:szCs w:val="22"/>
          <w:lang w:val="bs-Latn-BA"/>
        </w:rPr>
      </w:pPr>
      <w:bookmarkStart w:id="0" w:name="_GoBack"/>
      <w:bookmarkEnd w:id="0"/>
    </w:p>
    <w:p w14:paraId="336BB7EC" w14:textId="644910B1" w:rsidR="00F53AB2" w:rsidRPr="005F00FB" w:rsidRDefault="00F53AB2" w:rsidP="00F53AB2">
      <w:pPr>
        <w:spacing w:line="240" w:lineRule="atLeast"/>
        <w:jc w:val="center"/>
        <w:rPr>
          <w:b/>
          <w:lang w:val="bs-Latn-BA"/>
        </w:rPr>
      </w:pPr>
      <w:r w:rsidRPr="005F00FB">
        <w:rPr>
          <w:b/>
          <w:lang w:val="bs-Latn-BA"/>
        </w:rPr>
        <w:t xml:space="preserve">INFORMACIJA O </w:t>
      </w:r>
      <w:r>
        <w:rPr>
          <w:b/>
          <w:lang w:val="bs-Latn-BA"/>
        </w:rPr>
        <w:t xml:space="preserve">PETOM PROVEDENOM ONLINE ISTRAŽIVANJU O PRIMJENI </w:t>
      </w:r>
      <w:r w:rsidRPr="005F00FB">
        <w:rPr>
          <w:b/>
          <w:lang w:val="bs-Latn-BA"/>
        </w:rPr>
        <w:t>POLITIKE I STANDARDA PROAKTIVNE TRANSPARENTNOSTI</w:t>
      </w:r>
    </w:p>
    <w:p w14:paraId="467BA6E2" w14:textId="77777777" w:rsidR="00F53AB2" w:rsidRPr="005F00FB" w:rsidRDefault="00F53AB2" w:rsidP="00F53AB2">
      <w:pPr>
        <w:spacing w:line="240" w:lineRule="atLeast"/>
        <w:jc w:val="center"/>
        <w:rPr>
          <w:b/>
          <w:lang w:val="bs-Latn-BA"/>
        </w:rPr>
      </w:pPr>
    </w:p>
    <w:p w14:paraId="678EC259" w14:textId="2F1E7062" w:rsidR="00F53AB2" w:rsidRDefault="00F53AB2" w:rsidP="00F53AB2">
      <w:pPr>
        <w:spacing w:line="276" w:lineRule="auto"/>
        <w:jc w:val="both"/>
        <w:rPr>
          <w:lang w:eastAsia="bs-Latn-BA"/>
        </w:rPr>
      </w:pPr>
    </w:p>
    <w:p w14:paraId="2EFA611B" w14:textId="1CDD7905" w:rsidR="00F53AB2" w:rsidRDefault="00F53AB2" w:rsidP="00F53AB2">
      <w:pPr>
        <w:spacing w:line="276" w:lineRule="auto"/>
        <w:jc w:val="both"/>
        <w:rPr>
          <w:lang w:eastAsia="bs-Latn-BA"/>
        </w:rPr>
      </w:pPr>
      <w:r w:rsidRPr="00582572">
        <w:rPr>
          <w:lang w:eastAsia="bs-Latn-BA"/>
        </w:rPr>
        <w:t>Vijeće ministara B</w:t>
      </w:r>
      <w:r w:rsidR="007926C6">
        <w:rPr>
          <w:lang w:eastAsia="bs-Latn-BA"/>
        </w:rPr>
        <w:t xml:space="preserve">osne i Hercegovine </w:t>
      </w:r>
      <w:r w:rsidRPr="00582572">
        <w:rPr>
          <w:lang w:eastAsia="bs-Latn-BA"/>
        </w:rPr>
        <w:t xml:space="preserve">na </w:t>
      </w:r>
      <w:r>
        <w:rPr>
          <w:lang w:eastAsia="bs-Latn-BA"/>
        </w:rPr>
        <w:t xml:space="preserve">56. </w:t>
      </w:r>
      <w:r w:rsidRPr="00582572">
        <w:rPr>
          <w:lang w:eastAsia="bs-Latn-BA"/>
        </w:rPr>
        <w:t xml:space="preserve">sjednici održanoj </w:t>
      </w:r>
      <w:r>
        <w:rPr>
          <w:lang w:eastAsia="bs-Latn-BA"/>
        </w:rPr>
        <w:t>28</w:t>
      </w:r>
      <w:r w:rsidRPr="00582572">
        <w:rPr>
          <w:lang w:eastAsia="bs-Latn-BA"/>
        </w:rPr>
        <w:t>.1</w:t>
      </w:r>
      <w:r>
        <w:rPr>
          <w:lang w:eastAsia="bs-Latn-BA"/>
        </w:rPr>
        <w:t>0</w:t>
      </w:r>
      <w:r w:rsidRPr="00582572">
        <w:rPr>
          <w:lang w:eastAsia="bs-Latn-BA"/>
        </w:rPr>
        <w:t>.20</w:t>
      </w:r>
      <w:r>
        <w:rPr>
          <w:lang w:eastAsia="bs-Latn-BA"/>
        </w:rPr>
        <w:t>22</w:t>
      </w:r>
      <w:r w:rsidRPr="00582572">
        <w:rPr>
          <w:lang w:eastAsia="bs-Latn-BA"/>
        </w:rPr>
        <w:t xml:space="preserve">. godine </w:t>
      </w:r>
      <w:r>
        <w:rPr>
          <w:lang w:eastAsia="bs-Latn-BA"/>
        </w:rPr>
        <w:t xml:space="preserve">usvojilo je zaključak kojim se, između ostalog, zadužuju sve institucije Bosne i Hercegovine da kontinuirano provode standarde proaktivne transparentnosti i redovito ažuriraju dokumente i informacije na web stranicama institucija te da jednom godišnje dostave podatke Uredu koordinatora za reformu javne uprave o primjeni dokumenata Politika i Standardi proaktivne transparentnosti provedbi standarda. </w:t>
      </w:r>
    </w:p>
    <w:p w14:paraId="2DDDBF97" w14:textId="77777777" w:rsidR="003C3DAA" w:rsidRDefault="003C3DAA" w:rsidP="00F53AB2">
      <w:pPr>
        <w:spacing w:line="276" w:lineRule="auto"/>
        <w:jc w:val="both"/>
        <w:rPr>
          <w:lang w:eastAsia="bs-Latn-BA"/>
        </w:rPr>
      </w:pPr>
    </w:p>
    <w:p w14:paraId="64CD7333" w14:textId="3642F4FF" w:rsidR="008F2280" w:rsidRDefault="00F53AB2" w:rsidP="00746BD3">
      <w:pPr>
        <w:spacing w:line="276" w:lineRule="auto"/>
        <w:jc w:val="both"/>
      </w:pPr>
      <w:r>
        <w:rPr>
          <w:lang w:eastAsia="bs-Latn-BA"/>
        </w:rPr>
        <w:t xml:space="preserve">U skladu sa ovim zaključkom Vijeća ministara BiH, </w:t>
      </w:r>
      <w:r w:rsidRPr="00F53AB2">
        <w:t>Ured koordinatora za reformu javne uprave proveo je online istraživanje među institucijama Bosne i Hercegovine u periodu od 08.04.2023 do 28.04.2023. Rok za istraživanje naknadno je bio produžen do 18. maja jer je do prvobitnog roka samo 40-ak  institucija popunilo upitnik.</w:t>
      </w:r>
      <w:r w:rsidR="003C3DAA">
        <w:t xml:space="preserve"> </w:t>
      </w:r>
      <w:r w:rsidRPr="003230D7">
        <w:t>Istraživanjem je bil</w:t>
      </w:r>
      <w:r w:rsidR="00746BD3">
        <w:t xml:space="preserve">o </w:t>
      </w:r>
      <w:r w:rsidRPr="003230D7">
        <w:t>obuhvaćen</w:t>
      </w:r>
      <w:r w:rsidR="00746BD3">
        <w:t>o</w:t>
      </w:r>
      <w:r w:rsidRPr="003230D7">
        <w:t xml:space="preserve"> 8</w:t>
      </w:r>
      <w:r>
        <w:t>0</w:t>
      </w:r>
      <w:r w:rsidRPr="003230D7">
        <w:t xml:space="preserve"> institucija,</w:t>
      </w:r>
      <w:r>
        <w:t xml:space="preserve"> a</w:t>
      </w:r>
      <w:r w:rsidRPr="003230D7">
        <w:t xml:space="preserve"> </w:t>
      </w:r>
      <w:r>
        <w:t xml:space="preserve">na upitnik je odgovorilo 65 institucija. Iako sve institucije nisu učestvovale u popunjavanju upitnika, tokom ovogodišnjeg istraživanja bio je najveći odziv institucija Bosne i Hercegovine u odnosu na ranije godine.  </w:t>
      </w:r>
      <w:r w:rsidR="00746BD3" w:rsidRPr="003C3DAA">
        <w:t xml:space="preserve">Pitanja su se odnosila na to da li su institucije uprave na nivou Vijeća ministara BiH omogućile dostupnim građanima i korisnicima zvaničnih web stranica setove podataka/informacija koje posjeduju: strateške, operativne, finansijske te informacije u oblasti javnih nabavki, borbe protiv korupcije, slobode pristupa informacijama. Standardi proaktivne transparentnosti, između ostalog, podrazumijevaju omogućavanje uvida javnosti u finansijske informacije kao što je izvršenje budžeta, planovi javnih nabavki, ukupna primanja zaposlenih u institucijama BiH te niz drugih informacija od javnog značaja. </w:t>
      </w:r>
      <w:r w:rsidR="008F2280">
        <w:t xml:space="preserve">Povećanje dostupnosti informacija </w:t>
      </w:r>
      <w:r w:rsidR="00574531">
        <w:t xml:space="preserve">javne uprave </w:t>
      </w:r>
      <w:r w:rsidR="008F2280">
        <w:t xml:space="preserve">jedna je od mjera iz Akcionog plana </w:t>
      </w:r>
      <w:r w:rsidR="00574531">
        <w:t xml:space="preserve">za implementaciju Strateškog okvira reforme javne uprave ali i </w:t>
      </w:r>
      <w:r w:rsidR="008F2280">
        <w:t>Akcionog plana za provedbu inicijative Partnerstva za otvorenu vlast koji je usvojen na 57. sjednici Vijeća ministara Bosne i Hercegovine održanoj 9.</w:t>
      </w:r>
      <w:r w:rsidR="0006437B">
        <w:t xml:space="preserve"> </w:t>
      </w:r>
      <w:r w:rsidR="008F2280">
        <w:t>novembra 2022.godine</w:t>
      </w:r>
      <w:r w:rsidR="00574531">
        <w:t xml:space="preserve"> (mjera se odnosi na proaktivno objavljivanje podataka od javnog značaja)</w:t>
      </w:r>
      <w:r w:rsidR="008F2280">
        <w:t xml:space="preserve">. </w:t>
      </w:r>
    </w:p>
    <w:p w14:paraId="4337A153" w14:textId="4834CA5D" w:rsidR="008F2280" w:rsidRDefault="008F2280" w:rsidP="00746BD3">
      <w:pPr>
        <w:spacing w:line="276" w:lineRule="auto"/>
        <w:jc w:val="both"/>
      </w:pPr>
    </w:p>
    <w:p w14:paraId="29FB6BA1" w14:textId="0F34F744" w:rsidR="00746BD3" w:rsidRDefault="00746BD3" w:rsidP="00746BD3">
      <w:pPr>
        <w:spacing w:line="276" w:lineRule="auto"/>
        <w:jc w:val="both"/>
        <w:rPr>
          <w:b/>
          <w:bCs/>
          <w:color w:val="222222"/>
          <w:shd w:val="clear" w:color="auto" w:fill="FFFFFF"/>
        </w:rPr>
      </w:pPr>
      <w:r w:rsidRPr="003C3DAA">
        <w:rPr>
          <w:b/>
        </w:rPr>
        <w:t>Istraživanje među 65 institucij</w:t>
      </w:r>
      <w:r>
        <w:rPr>
          <w:b/>
        </w:rPr>
        <w:t>a</w:t>
      </w:r>
      <w:r w:rsidRPr="003C3DAA">
        <w:rPr>
          <w:b/>
        </w:rPr>
        <w:t xml:space="preserve"> pokazalo </w:t>
      </w:r>
      <w:r w:rsidR="0006437B">
        <w:rPr>
          <w:b/>
        </w:rPr>
        <w:t xml:space="preserve">je </w:t>
      </w:r>
      <w:r w:rsidRPr="003C3DAA">
        <w:rPr>
          <w:b/>
        </w:rPr>
        <w:t xml:space="preserve">da prosječna ispunjenost standarda proaktivne transparentnosti iznosi </w:t>
      </w:r>
      <w:r w:rsidRPr="00DE4F16">
        <w:rPr>
          <w:b/>
          <w:bCs/>
          <w:color w:val="222222"/>
          <w:shd w:val="clear" w:color="auto" w:fill="FFFFFF"/>
        </w:rPr>
        <w:t>72.27%</w:t>
      </w:r>
      <w:r w:rsidRPr="003C3DAA">
        <w:rPr>
          <w:b/>
        </w:rPr>
        <w:t xml:space="preserve">, a što predstavlja poboljšanje u odnosu na 2022. kada je ispunjenost standarda bila </w:t>
      </w:r>
      <w:r w:rsidRPr="00DE4F16">
        <w:rPr>
          <w:b/>
          <w:bCs/>
          <w:color w:val="222222"/>
          <w:shd w:val="clear" w:color="auto" w:fill="FFFFFF"/>
        </w:rPr>
        <w:t xml:space="preserve">68.23 posto. </w:t>
      </w:r>
      <w:r w:rsidR="008F2280">
        <w:rPr>
          <w:b/>
          <w:bCs/>
          <w:color w:val="222222"/>
          <w:shd w:val="clear" w:color="auto" w:fill="FFFFFF"/>
        </w:rPr>
        <w:t xml:space="preserve"> </w:t>
      </w:r>
    </w:p>
    <w:p w14:paraId="70DDF6C6" w14:textId="0E510796" w:rsidR="008F2280" w:rsidRDefault="008F2280" w:rsidP="00746BD3">
      <w:pPr>
        <w:spacing w:line="276" w:lineRule="auto"/>
        <w:jc w:val="both"/>
        <w:rPr>
          <w:b/>
          <w:bCs/>
          <w:color w:val="222222"/>
          <w:shd w:val="clear" w:color="auto" w:fill="FFFFFF"/>
        </w:rPr>
      </w:pPr>
    </w:p>
    <w:p w14:paraId="79FE4976" w14:textId="77777777" w:rsidR="00746BD3" w:rsidRDefault="00746BD3" w:rsidP="00746BD3">
      <w:pPr>
        <w:spacing w:line="276" w:lineRule="auto"/>
        <w:jc w:val="both"/>
      </w:pPr>
      <w:r w:rsidRPr="00F53AB2">
        <w:t xml:space="preserve">Šest institucija Bosne i Hercegovine ispunjavanju 100 posto standarda proaktivne transparentnosti i to: Direkcija za evropske integracije, Agencija za statistiku BiH, Agencija za visoko obrazovanje i osiguranje kvaliteta, Ured koordinatora za reformu javne uprave, Agencija za ravnopravnost polova BiH i Agencija za policijsku podršku BiH.  Ove institucije objavile su sve podatke i informacije od javnog značaja, od kontakata zaposlenih do ukupnih primanja rukovodilaca ovih institucija i svih državnih službenika i namještenika.  </w:t>
      </w:r>
      <w:r>
        <w:t xml:space="preserve"> Ured koordinatora za reformu javne uprave nije provjeravao </w:t>
      </w:r>
      <w:r>
        <w:lastRenderedPageBreak/>
        <w:t xml:space="preserve">istinitost podataka, tačnost dostavljenih podataka je na kontakt osobama u institucijama BiH koje su popunjavale upitnik.  </w:t>
      </w:r>
    </w:p>
    <w:p w14:paraId="2B553006" w14:textId="77777777" w:rsidR="00746BD3" w:rsidRDefault="00746BD3" w:rsidP="00746BD3">
      <w:pPr>
        <w:spacing w:line="276" w:lineRule="auto"/>
        <w:jc w:val="both"/>
      </w:pPr>
    </w:p>
    <w:p w14:paraId="7E202F44" w14:textId="77787A6C" w:rsidR="00746BD3" w:rsidRDefault="00746BD3" w:rsidP="00746BD3">
      <w:pPr>
        <w:spacing w:line="276" w:lineRule="auto"/>
        <w:jc w:val="both"/>
        <w:rPr>
          <w:color w:val="222222"/>
          <w:shd w:val="clear" w:color="auto" w:fill="FFFFFF"/>
        </w:rPr>
      </w:pPr>
      <w:r w:rsidRPr="00F53AB2">
        <w:rPr>
          <w:color w:val="222222"/>
          <w:shd w:val="clear" w:color="auto" w:fill="FFFFFF"/>
        </w:rPr>
        <w:t xml:space="preserve">Od 80 institucija u istraživanju, uprkos dostavljanju poziva, nikada nisu učestvovale tri institucije i to: Ured za reviziju institucija BiH, Državna regulatorna komisija za električnu energiju BiH, Agencija za pružanje usluga u zračnoj plovidbi – BHANSA. </w:t>
      </w:r>
      <w:r w:rsidRPr="0041405A">
        <w:rPr>
          <w:rFonts w:cstheme="minorHAnsi"/>
          <w:lang w:eastAsia="en-GB"/>
        </w:rPr>
        <w:t>Pravobranilašt</w:t>
      </w:r>
      <w:r>
        <w:rPr>
          <w:rFonts w:cstheme="minorHAnsi"/>
          <w:lang w:eastAsia="en-GB"/>
        </w:rPr>
        <w:t>vo</w:t>
      </w:r>
      <w:r w:rsidRPr="0041405A">
        <w:rPr>
          <w:rFonts w:cstheme="minorHAnsi"/>
          <w:lang w:eastAsia="en-GB"/>
        </w:rPr>
        <w:t xml:space="preserve"> BiH, koje je dvije godine (2020. </w:t>
      </w:r>
      <w:r>
        <w:rPr>
          <w:rFonts w:cstheme="minorHAnsi"/>
          <w:lang w:eastAsia="en-GB"/>
        </w:rPr>
        <w:t>i</w:t>
      </w:r>
      <w:r w:rsidRPr="0041405A">
        <w:rPr>
          <w:rFonts w:cstheme="minorHAnsi"/>
          <w:lang w:eastAsia="en-GB"/>
        </w:rPr>
        <w:t xml:space="preserve"> 2021.) učestvovalo u istraživanju, obavijestilo </w:t>
      </w:r>
      <w:r>
        <w:rPr>
          <w:rFonts w:cstheme="minorHAnsi"/>
          <w:lang w:eastAsia="en-GB"/>
        </w:rPr>
        <w:t>je</w:t>
      </w:r>
      <w:r w:rsidR="007926C6">
        <w:rPr>
          <w:rFonts w:cstheme="minorHAnsi"/>
          <w:lang w:eastAsia="en-GB"/>
        </w:rPr>
        <w:t xml:space="preserve"> Ured</w:t>
      </w:r>
      <w:r>
        <w:rPr>
          <w:rFonts w:cstheme="minorHAnsi"/>
          <w:lang w:eastAsia="en-GB"/>
        </w:rPr>
        <w:t xml:space="preserve"> da ova institucija “nij</w:t>
      </w:r>
      <w:r w:rsidRPr="0041405A">
        <w:rPr>
          <w:rFonts w:cstheme="minorHAnsi"/>
          <w:lang w:eastAsia="en-GB"/>
        </w:rPr>
        <w:t>e upravni organ te da</w:t>
      </w:r>
      <w:r>
        <w:rPr>
          <w:rFonts w:cstheme="minorHAnsi"/>
          <w:lang w:eastAsia="en-GB"/>
        </w:rPr>
        <w:t>,</w:t>
      </w:r>
      <w:r w:rsidRPr="0041405A">
        <w:rPr>
          <w:rFonts w:cstheme="minorHAnsi"/>
          <w:lang w:eastAsia="en-GB"/>
        </w:rPr>
        <w:t xml:space="preserve"> ka</w:t>
      </w:r>
      <w:r>
        <w:rPr>
          <w:rFonts w:cstheme="minorHAnsi"/>
          <w:lang w:eastAsia="en-GB"/>
        </w:rPr>
        <w:t>o institucija koja vrši sudsku i</w:t>
      </w:r>
      <w:r w:rsidRPr="0041405A">
        <w:rPr>
          <w:rFonts w:cstheme="minorHAnsi"/>
          <w:lang w:eastAsia="en-GB"/>
        </w:rPr>
        <w:t xml:space="preserve"> pravosudnu djelatnost</w:t>
      </w:r>
      <w:r>
        <w:rPr>
          <w:rFonts w:cstheme="minorHAnsi"/>
          <w:lang w:eastAsia="en-GB"/>
        </w:rPr>
        <w:t>,</w:t>
      </w:r>
      <w:r w:rsidRPr="0041405A">
        <w:rPr>
          <w:rFonts w:cstheme="minorHAnsi"/>
          <w:lang w:eastAsia="en-GB"/>
        </w:rPr>
        <w:t xml:space="preserve"> ne podliježu normama predviđenim našim aktivnostima”</w:t>
      </w:r>
      <w:r w:rsidR="00090B9B">
        <w:rPr>
          <w:rFonts w:cstheme="minorHAnsi"/>
          <w:lang w:eastAsia="en-GB"/>
        </w:rPr>
        <w:t>.</w:t>
      </w:r>
    </w:p>
    <w:p w14:paraId="59581883" w14:textId="77777777" w:rsidR="00595F3B" w:rsidRDefault="00595F3B" w:rsidP="00746BD3">
      <w:pPr>
        <w:spacing w:line="276" w:lineRule="auto"/>
        <w:jc w:val="both"/>
      </w:pPr>
    </w:p>
    <w:p w14:paraId="299A61E0" w14:textId="2B502358" w:rsidR="00746BD3" w:rsidRDefault="00F53AB2" w:rsidP="00746BD3">
      <w:pPr>
        <w:spacing w:line="276" w:lineRule="auto"/>
        <w:jc w:val="both"/>
      </w:pPr>
      <w:r w:rsidRPr="003230D7">
        <w:t>Upitnik su ispunjavali službenici zaposleni u institucijama BiH</w:t>
      </w:r>
      <w:r>
        <w:t>, odnosno imenovane kontakt osobe</w:t>
      </w:r>
      <w:r w:rsidRPr="003230D7">
        <w:t xml:space="preserve">. </w:t>
      </w:r>
      <w:r w:rsidR="00746BD3">
        <w:t>Radi popunjavanja upitnika</w:t>
      </w:r>
      <w:r w:rsidR="0006437B">
        <w:t>,</w:t>
      </w:r>
      <w:r w:rsidR="00746BD3">
        <w:t xml:space="preserve"> ali i informisanja o obavezama koje organi Bosne i Hercegovine imaju po zaključku Vijeća ministara BiH</w:t>
      </w:r>
      <w:r w:rsidR="0006437B">
        <w:t>,</w:t>
      </w:r>
      <w:r w:rsidR="00746BD3">
        <w:t xml:space="preserve"> Ured koordinatora za reformu javne uprave u saradnji sa Agencijom za državnu službu BiH organizirao je u Sarajevu radionicu (19.aprila 2023.) o proaktivnoj transparentnosti. </w:t>
      </w:r>
      <w:r w:rsidR="008F2280">
        <w:t xml:space="preserve"> </w:t>
      </w:r>
    </w:p>
    <w:p w14:paraId="5E06A16C" w14:textId="77777777" w:rsidR="00746BD3" w:rsidRDefault="00746BD3" w:rsidP="00746BD3">
      <w:pPr>
        <w:spacing w:line="276" w:lineRule="auto"/>
        <w:jc w:val="both"/>
      </w:pPr>
    </w:p>
    <w:p w14:paraId="0BAADF09" w14:textId="77777777" w:rsidR="00F53AB2" w:rsidRDefault="00F53AB2" w:rsidP="00F53AB2">
      <w:pPr>
        <w:spacing w:line="276" w:lineRule="auto"/>
        <w:jc w:val="both"/>
        <w:rPr>
          <w:color w:val="222222"/>
          <w:shd w:val="clear" w:color="auto" w:fill="FFFFFF"/>
        </w:rPr>
      </w:pPr>
    </w:p>
    <w:p w14:paraId="593B74F2" w14:textId="33A09FB6" w:rsidR="00F53AB2" w:rsidRPr="00F53AB2" w:rsidRDefault="00F53AB2" w:rsidP="00F53AB2">
      <w:pPr>
        <w:spacing w:line="276" w:lineRule="auto"/>
        <w:jc w:val="both"/>
      </w:pPr>
      <w:r w:rsidRPr="00F53AB2">
        <w:t xml:space="preserve">U skladu sa zaključkom Vijeća ministara BiH iz 2022. godine institucije Bosne i Hercegovine bile su dužne donijeti interne akte – pravilnike o proaktivnoj objavi informacija od javnog interesa, a prema podacima koje su institucije dostavile Uredu od njih 65 interne akte donijelo je 30 institucija. Neke institucije navele su da je u toku izrada ovih dokumenata, a neke da su dokumenti urađeni ali da još nisu dostupni na njihovim web stranicama.  </w:t>
      </w:r>
    </w:p>
    <w:p w14:paraId="590251B6" w14:textId="77777777" w:rsidR="00F53AB2" w:rsidRPr="006F09C3" w:rsidRDefault="00F53AB2" w:rsidP="00F53AB2">
      <w:pPr>
        <w:spacing w:line="276" w:lineRule="auto"/>
        <w:jc w:val="both"/>
        <w:rPr>
          <w:b/>
          <w:color w:val="1F497D"/>
        </w:rPr>
      </w:pPr>
    </w:p>
    <w:p w14:paraId="5DA5F64D" w14:textId="6AC34E0F" w:rsidR="00595F3B" w:rsidRDefault="00F53AB2" w:rsidP="00F53AB2">
      <w:pPr>
        <w:spacing w:line="276" w:lineRule="auto"/>
        <w:jc w:val="both"/>
        <w:rPr>
          <w:lang w:eastAsia="bs-Latn-BA"/>
        </w:rPr>
      </w:pPr>
      <w:r w:rsidRPr="00F53AB2">
        <w:rPr>
          <w:lang w:eastAsia="bs-Latn-BA"/>
        </w:rPr>
        <w:t xml:space="preserve">U komunikaciji sa kontakt osobama koje su popunjavale upitnik utvrđeno je da </w:t>
      </w:r>
      <w:r>
        <w:rPr>
          <w:lang w:eastAsia="bs-Latn-BA"/>
        </w:rPr>
        <w:t xml:space="preserve">pojedine standardne informacije nisu primjenjive na pojedine institucije, poput </w:t>
      </w:r>
      <w:r w:rsidRPr="00F53AB2">
        <w:rPr>
          <w:lang w:eastAsia="bs-Latn-BA"/>
        </w:rPr>
        <w:t>Predsjedništv</w:t>
      </w:r>
      <w:r>
        <w:rPr>
          <w:lang w:eastAsia="bs-Latn-BA"/>
        </w:rPr>
        <w:t>a</w:t>
      </w:r>
      <w:r w:rsidRPr="00F53AB2">
        <w:rPr>
          <w:lang w:eastAsia="bs-Latn-BA"/>
        </w:rPr>
        <w:t xml:space="preserve"> BiH ili Ustavn</w:t>
      </w:r>
      <w:r>
        <w:rPr>
          <w:lang w:eastAsia="bs-Latn-BA"/>
        </w:rPr>
        <w:t>og s</w:t>
      </w:r>
      <w:r w:rsidRPr="00F53AB2">
        <w:rPr>
          <w:lang w:eastAsia="bs-Latn-BA"/>
        </w:rPr>
        <w:t>ud</w:t>
      </w:r>
      <w:r>
        <w:rPr>
          <w:lang w:eastAsia="bs-Latn-BA"/>
        </w:rPr>
        <w:t>a</w:t>
      </w:r>
      <w:r w:rsidRPr="00F53AB2">
        <w:rPr>
          <w:lang w:eastAsia="bs-Latn-BA"/>
        </w:rPr>
        <w:t xml:space="preserve"> BiH jer </w:t>
      </w:r>
      <w:r>
        <w:rPr>
          <w:lang w:eastAsia="bs-Latn-BA"/>
        </w:rPr>
        <w:t xml:space="preserve">oni </w:t>
      </w:r>
      <w:r w:rsidRPr="00F53AB2">
        <w:rPr>
          <w:lang w:eastAsia="bs-Latn-BA"/>
        </w:rPr>
        <w:t xml:space="preserve">ili ne provode javne konsultacije ili nemaju listu projekata sa međunarodnim organizacijama, odnosno nemaju sličnih projekata. </w:t>
      </w:r>
      <w:r>
        <w:rPr>
          <w:lang w:eastAsia="bs-Latn-BA"/>
        </w:rPr>
        <w:t>Pred</w:t>
      </w:r>
      <w:r w:rsidR="00090B9B">
        <w:rPr>
          <w:lang w:eastAsia="bs-Latn-BA"/>
        </w:rPr>
        <w:t>s</w:t>
      </w:r>
      <w:r>
        <w:rPr>
          <w:lang w:eastAsia="bs-Latn-BA"/>
        </w:rPr>
        <w:t xml:space="preserve">jedništvo BiH nije u obavezi da provodi javne konsultacije u skladu sa </w:t>
      </w:r>
      <w:r w:rsidR="00595F3B">
        <w:rPr>
          <w:lang w:eastAsia="bs-Latn-BA"/>
        </w:rPr>
        <w:t xml:space="preserve">Jedinstvenim pravilima za izradu pravnih propisa u institucijama Bosne i Hercegovine. </w:t>
      </w:r>
    </w:p>
    <w:p w14:paraId="2AD9AC66" w14:textId="77777777" w:rsidR="00595F3B" w:rsidRDefault="00595F3B" w:rsidP="00F53AB2">
      <w:pPr>
        <w:spacing w:line="276" w:lineRule="auto"/>
        <w:jc w:val="both"/>
        <w:rPr>
          <w:lang w:eastAsia="bs-Latn-BA"/>
        </w:rPr>
      </w:pPr>
    </w:p>
    <w:p w14:paraId="5C031B9F" w14:textId="63237FF3" w:rsidR="00F53AB2" w:rsidRDefault="00F53AB2" w:rsidP="00F53AB2">
      <w:pPr>
        <w:spacing w:line="276" w:lineRule="auto"/>
        <w:jc w:val="both"/>
        <w:rPr>
          <w:b/>
          <w:color w:val="222222"/>
          <w:shd w:val="clear" w:color="auto" w:fill="FFFFFF"/>
        </w:rPr>
      </w:pPr>
      <w:r w:rsidRPr="00275489">
        <w:t>U istraživanju su učestvovali:</w:t>
      </w:r>
      <w:r w:rsidRPr="00275489">
        <w:rPr>
          <w:b/>
        </w:rPr>
        <w:t xml:space="preserve"> </w:t>
      </w:r>
      <w:r w:rsidRPr="00275489">
        <w:rPr>
          <w:b/>
          <w:color w:val="222222"/>
          <w:shd w:val="clear" w:color="auto" w:fill="FFFFFF"/>
        </w:rPr>
        <w:t xml:space="preserve">Agencija za antidoping kontrolu BiH, </w:t>
      </w:r>
      <w:r w:rsidRPr="00275489">
        <w:rPr>
          <w:b/>
          <w:color w:val="222222"/>
          <w:lang w:eastAsia="bs-Latn-BA"/>
        </w:rPr>
        <w:t xml:space="preserve">Agencija za državnu službu BiH, Agencija za forenzička ispitivanja i vještačenja BiH, Agencija za identifikacione dokumente, evidenciju i razmjenu podataka BiH, Agencija za javne nabavke BiH, Agencija za nadzor nad tržištem BiH, Agencija za osiguranje u BiH, Agencija za policijsku podršku BiH, Agencija za poštanski promet BiH, Agencija za predškolsko, osnovno i srednje obrazovanje, Agencija za prevenciju korupcije i koordinaciju borbe protiv korupcije BiH, </w:t>
      </w:r>
      <w:r w:rsidRPr="00275489">
        <w:rPr>
          <w:b/>
          <w:color w:val="222222"/>
          <w:shd w:val="clear" w:color="auto" w:fill="FFFFFF"/>
        </w:rPr>
        <w:t>Agencija za rad i zapošljavanje BiH</w:t>
      </w:r>
      <w:r w:rsidRPr="00275489">
        <w:rPr>
          <w:b/>
        </w:rPr>
        <w:t xml:space="preserve">, Agencija za ravnopravnost polova,  </w:t>
      </w:r>
      <w:r w:rsidRPr="00275489">
        <w:rPr>
          <w:b/>
          <w:color w:val="222222"/>
          <w:lang w:eastAsia="bs-Latn-BA"/>
        </w:rPr>
        <w:t xml:space="preserve">Agencija za razvoj visokog obrazovanja i osiguranje kvaliteta, Agencija za sigurnost hrane BiH, Agencija za školovanje i stručno usavršavanje kadrova BiH, Agencija za statistiku BiH, Agencija za unaprjeđenje stranih investicija u BiH, Agencija za zaštitu ličnih podataka BiH, Arhiv Bosne i Hercegovine, Centar za informisanje i priznavanje dokumenata iz oblasti visokog obrazovanja BiH, </w:t>
      </w:r>
      <w:r w:rsidRPr="00275489">
        <w:rPr>
          <w:b/>
          <w:color w:val="222222"/>
          <w:shd w:val="clear" w:color="auto" w:fill="FFFFFF"/>
        </w:rPr>
        <w:t xml:space="preserve">Centralna harmonizacijska jedinica Ministarstva finansija i trezora BiH, Centralna Izborna komisija, </w:t>
      </w:r>
      <w:r w:rsidRPr="00275489">
        <w:rPr>
          <w:b/>
          <w:color w:val="222222"/>
          <w:lang w:eastAsia="bs-Latn-BA"/>
        </w:rPr>
        <w:t xml:space="preserve">Direkcija za civilno zrakoplovstvo BiH, Direkcija za ekonomsko planiranje BiH,  Direkcija za evropske integracije BiH, Direkcija za koordinaciju policijskih tijela BiH, Državna agencija za istrage i zaštitu BiH, Fond za povratak BiH, </w:t>
      </w:r>
      <w:r w:rsidR="009A1BF8" w:rsidRPr="00275489">
        <w:rPr>
          <w:b/>
          <w:color w:val="222222"/>
          <w:lang w:eastAsia="bs-Latn-BA"/>
        </w:rPr>
        <w:t xml:space="preserve">Granična policija BiH, </w:t>
      </w:r>
      <w:r w:rsidRPr="00275489">
        <w:rPr>
          <w:b/>
          <w:color w:val="222222"/>
          <w:lang w:eastAsia="bs-Latn-BA"/>
        </w:rPr>
        <w:t xml:space="preserve">Generalni sekretarijat Vijeća ministara BiH, Institucija ombudsmena za ljudska prava BiH, Institucija ombudsmena za zaštitu potrošača u BiH, Institut za intelektualno vlasništvo BiH, Institut za mjeriteljstvo BiH, </w:t>
      </w:r>
      <w:r w:rsidRPr="00275489">
        <w:rPr>
          <w:b/>
          <w:color w:val="222222"/>
          <w:shd w:val="clear" w:color="auto" w:fill="FFFFFF"/>
        </w:rPr>
        <w:t xml:space="preserve">Institut za standardizaciju BiH, </w:t>
      </w:r>
      <w:r w:rsidR="009A1BF8" w:rsidRPr="00275489">
        <w:rPr>
          <w:b/>
          <w:color w:val="222222"/>
          <w:shd w:val="clear" w:color="auto" w:fill="FFFFFF"/>
        </w:rPr>
        <w:t xml:space="preserve">Institut za akreditovanje, </w:t>
      </w:r>
      <w:r w:rsidRPr="00275489">
        <w:rPr>
          <w:b/>
          <w:color w:val="222222"/>
          <w:shd w:val="clear" w:color="auto" w:fill="FFFFFF"/>
        </w:rPr>
        <w:t xml:space="preserve">Komisija za koncesije BiH, Komisija za očuvanje nacionalnih spomenika BiH, </w:t>
      </w:r>
      <w:r w:rsidR="00260CC5" w:rsidRPr="00275489">
        <w:rPr>
          <w:b/>
          <w:color w:val="222222"/>
          <w:shd w:val="clear" w:color="auto" w:fill="FFFFFF"/>
        </w:rPr>
        <w:t xml:space="preserve">Konkurencijsko vijeće BiH, </w:t>
      </w:r>
      <w:r w:rsidRPr="00275489">
        <w:rPr>
          <w:b/>
          <w:color w:val="222222"/>
          <w:shd w:val="clear" w:color="auto" w:fill="FFFFFF"/>
        </w:rPr>
        <w:t>Ministarstvo civilnih poslova BiH, Ministarstvo finansija i trezora BiH, Ministarstvo komunikacija i prometa BiH, Ministarstvo odbrane BiH, Ministarstvo pravde BiH, Ministarstvo sigurnosti BiH, Ministarstvo vanjske trgovine i ekonomskih odnosa BiH, Ministarstvo za ljudska prava i izbjeglice BiH, Odbor državne službe za žalbe BiH, Predsjedništvo BiH, Regulatorna agencija za komunikacije BiH, Regulatorni odbor željeznica BiH, Služba za poslove sa strancima BiH, Služba za zajedničke poslove institucija BiH, Sud BiH, Tužilaštvo BiH, Uprava za indirektno oporezivanje BiH, Ured koordinatora za reformu javne uprave BiH, Ured za harmonizaciju i koordinaciju sistema plaćanja u poljoprivredi, ishrani i ruralnom razvoju BiH, Ured za razmatranje žalbi BiH, Ured za veterinarstvo BiH, Ured za zakonodavstvo BiH, Ustavni sud BiH, Vijeće za državnu pomoć BiH i Visoko sudsko i tužilačko vijeće BiH.</w:t>
      </w:r>
      <w:r w:rsidRPr="00D47297">
        <w:rPr>
          <w:b/>
          <w:color w:val="222222"/>
          <w:shd w:val="clear" w:color="auto" w:fill="FFFFFF"/>
        </w:rPr>
        <w:t xml:space="preserve"> </w:t>
      </w:r>
    </w:p>
    <w:p w14:paraId="7E478EE1" w14:textId="77777777" w:rsidR="00F53AB2" w:rsidRDefault="00F53AB2" w:rsidP="00F53AB2">
      <w:pPr>
        <w:spacing w:line="276" w:lineRule="auto"/>
        <w:jc w:val="both"/>
        <w:rPr>
          <w:b/>
          <w:color w:val="222222"/>
          <w:shd w:val="clear" w:color="auto" w:fill="FFFFFF"/>
        </w:rPr>
      </w:pPr>
    </w:p>
    <w:p w14:paraId="3F8E5715" w14:textId="77777777" w:rsidR="00F53AB2" w:rsidRDefault="00F53AB2" w:rsidP="00F53AB2">
      <w:pPr>
        <w:spacing w:line="276" w:lineRule="auto"/>
        <w:jc w:val="both"/>
        <w:rPr>
          <w:b/>
          <w:color w:val="222222"/>
          <w:shd w:val="clear" w:color="auto" w:fill="FFFFFF"/>
        </w:rPr>
      </w:pPr>
    </w:p>
    <w:p w14:paraId="57FE4316" w14:textId="664A4394" w:rsidR="00F53AB2" w:rsidRDefault="00F53AB2" w:rsidP="00F53AB2">
      <w:pPr>
        <w:spacing w:line="276" w:lineRule="auto"/>
        <w:jc w:val="both"/>
      </w:pPr>
      <w:r w:rsidRPr="00EF6254">
        <w:t xml:space="preserve">Politiku i Standarde proaktivne transparentnosti </w:t>
      </w:r>
      <w:r>
        <w:t xml:space="preserve">usvojilo je Vijeće ministara BiH u decembru 2018. godine. Ova dva dokumenta </w:t>
      </w:r>
      <w:r w:rsidRPr="00EF6254">
        <w:t>razvili su članovi i članice međuinstitucionalne Grupe za komunikacije Programa jačanja javnih institucija, kojeg po nalogu Savezne vlade Njemačke provodi njemački GIZ (</w:t>
      </w:r>
      <w:r w:rsidRPr="00EF6254">
        <w:rPr>
          <w:rStyle w:val="st"/>
        </w:rPr>
        <w:t xml:space="preserve">Deutsche Gesellschaft für Internationale Zusammenarbeit). </w:t>
      </w:r>
      <w:r w:rsidR="0006437B">
        <w:rPr>
          <w:rStyle w:val="st"/>
        </w:rPr>
        <w:t>G</w:t>
      </w:r>
      <w:r w:rsidRPr="00EF6254">
        <w:t>rupu za komunikacije čin</w:t>
      </w:r>
      <w:r w:rsidR="0006437B">
        <w:t xml:space="preserve">ili su </w:t>
      </w:r>
      <w:r w:rsidRPr="00EF6254">
        <w:t>predstavnici</w:t>
      </w:r>
      <w:r>
        <w:t>:</w:t>
      </w:r>
      <w:r w:rsidRPr="00EF6254">
        <w:t xml:space="preserve"> Direkcije za evropske integracije, Agencije za razvoj visokog obrazovanja i osiguranje kvaliteta BiH, Agencije za statistiku BiH i Ureda koordinatora za reformu javne uprave, a doprinos samoj izradi standarda proaktivne transparentnosti dali su i predstavnici Agencije za prevenciju korupcije i koordinaciju borbe protiv korupcije BiH, Institucije ombudsmana za ljudska prava BiH i Službe za informisanje – Generalnog sekretarijata Vijeća ministara BiH, te predstavnici Transparency International BiH, Centra za istraživačko novinarstvo i Centra za društvena istraživanja Analitika.  Na osnovu gore navedenog zaključka Vijeća ministara BiH, članovi i članice Grupe za komunikacije Programa jačanja javnih institucija razvili su upitnik za samoprocjenu, koji sadrži 38 standarda proaktivne transparentnosti. Za potrebe sveobuhvatne analize ispunjenosti standarda Agencija za statistiku BiH razvila je softver koji je korišten za istraživanje, a sa Uredom koordinatora za reformu javne uprave u junu ove godine potpisan je Memorandum o korištenju softvera i čuvanju podataka.  </w:t>
      </w:r>
    </w:p>
    <w:p w14:paraId="50609841" w14:textId="54514B60" w:rsidR="00F53AB2" w:rsidRDefault="00F53AB2" w:rsidP="00F53AB2">
      <w:pPr>
        <w:spacing w:line="276" w:lineRule="auto"/>
        <w:jc w:val="both"/>
        <w:rPr>
          <w:b/>
          <w:color w:val="222222"/>
          <w:shd w:val="clear" w:color="auto" w:fill="FFFFFF"/>
        </w:rPr>
      </w:pPr>
    </w:p>
    <w:p w14:paraId="70D82B14" w14:textId="3DCA2AC1" w:rsidR="00F53AB2" w:rsidRPr="003230D7" w:rsidRDefault="00F53AB2" w:rsidP="00F53AB2">
      <w:pPr>
        <w:spacing w:line="276" w:lineRule="auto"/>
        <w:jc w:val="both"/>
        <w:rPr>
          <w:b/>
          <w:color w:val="222222"/>
          <w:shd w:val="clear" w:color="auto" w:fill="FFFFFF"/>
        </w:rPr>
      </w:pPr>
    </w:p>
    <w:p w14:paraId="24BDD9B8" w14:textId="77777777" w:rsidR="00F53AB2" w:rsidRPr="00EF6254" w:rsidRDefault="00F53AB2" w:rsidP="00F53AB2">
      <w:pPr>
        <w:jc w:val="both"/>
        <w:rPr>
          <w:b/>
          <w:i/>
          <w:sz w:val="22"/>
          <w:szCs w:val="22"/>
          <w:u w:val="single"/>
        </w:rPr>
      </w:pPr>
      <w:r w:rsidRPr="00EF6254">
        <w:rPr>
          <w:b/>
          <w:i/>
          <w:sz w:val="22"/>
          <w:szCs w:val="22"/>
          <w:u w:val="single"/>
        </w:rPr>
        <w:t>Ispunjenost standarda</w:t>
      </w:r>
      <w:r>
        <w:rPr>
          <w:b/>
          <w:i/>
          <w:sz w:val="22"/>
          <w:szCs w:val="22"/>
          <w:u w:val="single"/>
        </w:rPr>
        <w:t xml:space="preserve"> 2023</w:t>
      </w:r>
      <w:r w:rsidRPr="00EF6254">
        <w:rPr>
          <w:b/>
          <w:i/>
          <w:sz w:val="22"/>
          <w:szCs w:val="22"/>
          <w:u w:val="single"/>
        </w:rPr>
        <w:t xml:space="preserve">:  </w:t>
      </w:r>
    </w:p>
    <w:p w14:paraId="22563519" w14:textId="77777777" w:rsidR="00F53AB2" w:rsidRDefault="00F53AB2" w:rsidP="00F53AB2">
      <w:pPr>
        <w:jc w:val="both"/>
        <w:rPr>
          <w:sz w:val="22"/>
          <w:szCs w:val="22"/>
          <w:u w:val="single"/>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095"/>
        <w:gridCol w:w="1276"/>
        <w:gridCol w:w="1468"/>
      </w:tblGrid>
      <w:tr w:rsidR="00F53AB2" w:rsidRPr="006739B2" w14:paraId="10495FBD" w14:textId="77777777" w:rsidTr="003C3DAA">
        <w:trPr>
          <w:trHeight w:val="870"/>
        </w:trPr>
        <w:tc>
          <w:tcPr>
            <w:tcW w:w="851" w:type="dxa"/>
            <w:shd w:val="clear" w:color="auto" w:fill="auto"/>
            <w:vAlign w:val="center"/>
            <w:hideMark/>
          </w:tcPr>
          <w:p w14:paraId="603FBDF9" w14:textId="77777777" w:rsidR="00F53AB2" w:rsidRPr="006739B2" w:rsidRDefault="00F53AB2" w:rsidP="003C3DAA">
            <w:pPr>
              <w:jc w:val="center"/>
              <w:rPr>
                <w:b/>
                <w:color w:val="000000"/>
                <w:sz w:val="22"/>
                <w:szCs w:val="22"/>
                <w:lang w:val="bs-Latn-BA" w:eastAsia="bs-Latn-BA"/>
              </w:rPr>
            </w:pPr>
            <w:r w:rsidRPr="006739B2">
              <w:rPr>
                <w:b/>
                <w:color w:val="000000"/>
                <w:sz w:val="22"/>
                <w:szCs w:val="22"/>
              </w:rPr>
              <w:t xml:space="preserve">Redni </w:t>
            </w:r>
            <w:r w:rsidRPr="006739B2">
              <w:rPr>
                <w:b/>
                <w:color w:val="000000"/>
                <w:sz w:val="22"/>
                <w:szCs w:val="22"/>
              </w:rPr>
              <w:br/>
              <w:t>broj</w:t>
            </w:r>
          </w:p>
        </w:tc>
        <w:tc>
          <w:tcPr>
            <w:tcW w:w="6095" w:type="dxa"/>
            <w:shd w:val="clear" w:color="auto" w:fill="auto"/>
            <w:noWrap/>
            <w:vAlign w:val="center"/>
            <w:hideMark/>
          </w:tcPr>
          <w:p w14:paraId="0867D4A6" w14:textId="77777777" w:rsidR="00F53AB2" w:rsidRPr="006739B2" w:rsidRDefault="00F53AB2" w:rsidP="003C3DAA">
            <w:pPr>
              <w:jc w:val="center"/>
              <w:rPr>
                <w:b/>
                <w:color w:val="000000"/>
                <w:sz w:val="22"/>
                <w:szCs w:val="22"/>
              </w:rPr>
            </w:pPr>
            <w:r w:rsidRPr="006739B2">
              <w:rPr>
                <w:b/>
                <w:color w:val="000000"/>
                <w:sz w:val="22"/>
                <w:szCs w:val="22"/>
              </w:rPr>
              <w:t>Naziv institucije</w:t>
            </w:r>
          </w:p>
        </w:tc>
        <w:tc>
          <w:tcPr>
            <w:tcW w:w="1276" w:type="dxa"/>
            <w:shd w:val="clear" w:color="auto" w:fill="auto"/>
            <w:vAlign w:val="center"/>
            <w:hideMark/>
          </w:tcPr>
          <w:p w14:paraId="125599F5" w14:textId="77777777" w:rsidR="00F53AB2" w:rsidRPr="006739B2" w:rsidRDefault="00F53AB2" w:rsidP="003C3DAA">
            <w:pPr>
              <w:jc w:val="center"/>
              <w:rPr>
                <w:b/>
                <w:color w:val="000000"/>
                <w:sz w:val="22"/>
                <w:szCs w:val="22"/>
              </w:rPr>
            </w:pPr>
            <w:r w:rsidRPr="006739B2">
              <w:rPr>
                <w:b/>
                <w:color w:val="000000"/>
                <w:sz w:val="22"/>
                <w:szCs w:val="22"/>
              </w:rPr>
              <w:t>Ispunjeni</w:t>
            </w:r>
            <w:r w:rsidRPr="006739B2">
              <w:rPr>
                <w:b/>
                <w:color w:val="000000"/>
                <w:sz w:val="22"/>
                <w:szCs w:val="22"/>
              </w:rPr>
              <w:br/>
              <w:t>standardi</w:t>
            </w:r>
          </w:p>
        </w:tc>
        <w:tc>
          <w:tcPr>
            <w:tcW w:w="1468" w:type="dxa"/>
            <w:shd w:val="clear" w:color="auto" w:fill="auto"/>
            <w:vAlign w:val="center"/>
            <w:hideMark/>
          </w:tcPr>
          <w:p w14:paraId="79000193" w14:textId="77777777" w:rsidR="00F53AB2" w:rsidRPr="006739B2" w:rsidRDefault="00F53AB2" w:rsidP="003C3DAA">
            <w:pPr>
              <w:jc w:val="center"/>
              <w:rPr>
                <w:b/>
                <w:color w:val="000000"/>
                <w:sz w:val="22"/>
                <w:szCs w:val="22"/>
              </w:rPr>
            </w:pPr>
            <w:r w:rsidRPr="006739B2">
              <w:rPr>
                <w:b/>
                <w:color w:val="000000"/>
                <w:sz w:val="22"/>
                <w:szCs w:val="22"/>
              </w:rPr>
              <w:t>Ispunjeni</w:t>
            </w:r>
            <w:r w:rsidRPr="006739B2">
              <w:rPr>
                <w:b/>
                <w:color w:val="000000"/>
                <w:sz w:val="22"/>
                <w:szCs w:val="22"/>
              </w:rPr>
              <w:br/>
              <w:t>standardi (%)</w:t>
            </w:r>
          </w:p>
        </w:tc>
      </w:tr>
      <w:tr w:rsidR="00F53AB2" w:rsidRPr="006739B2" w14:paraId="3ED49E52" w14:textId="77777777" w:rsidTr="003C3DAA">
        <w:trPr>
          <w:trHeight w:val="290"/>
        </w:trPr>
        <w:tc>
          <w:tcPr>
            <w:tcW w:w="851" w:type="dxa"/>
            <w:shd w:val="clear" w:color="auto" w:fill="auto"/>
            <w:noWrap/>
          </w:tcPr>
          <w:p w14:paraId="69EA8889" w14:textId="77777777" w:rsidR="00F53AB2" w:rsidRPr="005D7C3D" w:rsidRDefault="00F53AB2" w:rsidP="003C3DAA">
            <w:pPr>
              <w:jc w:val="center"/>
              <w:rPr>
                <w:sz w:val="22"/>
                <w:szCs w:val="22"/>
              </w:rPr>
            </w:pPr>
            <w:r w:rsidRPr="005D7C3D">
              <w:rPr>
                <w:sz w:val="22"/>
                <w:szCs w:val="22"/>
              </w:rPr>
              <w:t>1.</w:t>
            </w:r>
          </w:p>
        </w:tc>
        <w:tc>
          <w:tcPr>
            <w:tcW w:w="6095" w:type="dxa"/>
            <w:shd w:val="clear" w:color="auto" w:fill="auto"/>
            <w:noWrap/>
            <w:vAlign w:val="center"/>
          </w:tcPr>
          <w:p w14:paraId="6584D66B" w14:textId="77777777" w:rsidR="00F53AB2" w:rsidRPr="005D7C3D" w:rsidRDefault="00F53AB2" w:rsidP="003C3DAA">
            <w:pPr>
              <w:rPr>
                <w:sz w:val="22"/>
                <w:szCs w:val="22"/>
              </w:rPr>
            </w:pPr>
            <w:r w:rsidRPr="005D7C3D">
              <w:rPr>
                <w:sz w:val="22"/>
                <w:szCs w:val="22"/>
              </w:rPr>
              <w:t>Regulatorni odbor željeznica BiH</w:t>
            </w:r>
          </w:p>
        </w:tc>
        <w:tc>
          <w:tcPr>
            <w:tcW w:w="1276" w:type="dxa"/>
            <w:shd w:val="clear" w:color="auto" w:fill="auto"/>
            <w:noWrap/>
            <w:vAlign w:val="center"/>
          </w:tcPr>
          <w:p w14:paraId="3422C13B" w14:textId="77777777" w:rsidR="00F53AB2" w:rsidRPr="005D7C3D" w:rsidRDefault="00F53AB2" w:rsidP="003C3DAA">
            <w:pPr>
              <w:jc w:val="center"/>
              <w:rPr>
                <w:sz w:val="22"/>
                <w:szCs w:val="22"/>
              </w:rPr>
            </w:pPr>
            <w:r w:rsidRPr="005D7C3D">
              <w:rPr>
                <w:sz w:val="22"/>
                <w:szCs w:val="22"/>
              </w:rPr>
              <w:t>6/38</w:t>
            </w:r>
          </w:p>
        </w:tc>
        <w:tc>
          <w:tcPr>
            <w:tcW w:w="1468" w:type="dxa"/>
            <w:shd w:val="clear" w:color="auto" w:fill="auto"/>
            <w:noWrap/>
            <w:vAlign w:val="center"/>
          </w:tcPr>
          <w:p w14:paraId="345BBFAA" w14:textId="77777777" w:rsidR="00F53AB2" w:rsidRPr="005D7C3D" w:rsidRDefault="00F53AB2" w:rsidP="003C3DAA">
            <w:pPr>
              <w:jc w:val="right"/>
              <w:rPr>
                <w:sz w:val="22"/>
                <w:szCs w:val="22"/>
              </w:rPr>
            </w:pPr>
            <w:r w:rsidRPr="005D7C3D">
              <w:rPr>
                <w:sz w:val="22"/>
                <w:szCs w:val="22"/>
              </w:rPr>
              <w:t>15,79%</w:t>
            </w:r>
          </w:p>
        </w:tc>
      </w:tr>
      <w:tr w:rsidR="00F53AB2" w:rsidRPr="006739B2" w14:paraId="003918DB" w14:textId="77777777" w:rsidTr="003C3DAA">
        <w:trPr>
          <w:trHeight w:val="290"/>
        </w:trPr>
        <w:tc>
          <w:tcPr>
            <w:tcW w:w="851" w:type="dxa"/>
            <w:shd w:val="clear" w:color="auto" w:fill="auto"/>
            <w:noWrap/>
          </w:tcPr>
          <w:p w14:paraId="7DCA8727" w14:textId="77777777" w:rsidR="00F53AB2" w:rsidRPr="005D7C3D" w:rsidRDefault="00F53AB2" w:rsidP="003C3DAA">
            <w:pPr>
              <w:jc w:val="center"/>
              <w:rPr>
                <w:sz w:val="22"/>
                <w:szCs w:val="22"/>
              </w:rPr>
            </w:pPr>
            <w:r w:rsidRPr="005D7C3D">
              <w:rPr>
                <w:sz w:val="22"/>
                <w:szCs w:val="22"/>
              </w:rPr>
              <w:t>2.</w:t>
            </w:r>
          </w:p>
        </w:tc>
        <w:tc>
          <w:tcPr>
            <w:tcW w:w="6095" w:type="dxa"/>
            <w:shd w:val="clear" w:color="auto" w:fill="auto"/>
            <w:noWrap/>
            <w:vAlign w:val="center"/>
          </w:tcPr>
          <w:p w14:paraId="5DAFDB6D" w14:textId="77777777" w:rsidR="00F53AB2" w:rsidRPr="005D7C3D" w:rsidRDefault="00F53AB2" w:rsidP="003C3DAA">
            <w:pPr>
              <w:rPr>
                <w:sz w:val="22"/>
                <w:szCs w:val="22"/>
              </w:rPr>
            </w:pPr>
            <w:r w:rsidRPr="005D7C3D">
              <w:rPr>
                <w:sz w:val="22"/>
                <w:szCs w:val="22"/>
              </w:rPr>
              <w:t>Odbor državne službe za žalbe BiH</w:t>
            </w:r>
          </w:p>
        </w:tc>
        <w:tc>
          <w:tcPr>
            <w:tcW w:w="1276" w:type="dxa"/>
            <w:shd w:val="clear" w:color="auto" w:fill="auto"/>
            <w:noWrap/>
            <w:vAlign w:val="center"/>
          </w:tcPr>
          <w:p w14:paraId="3E81D2F8" w14:textId="77777777" w:rsidR="00F53AB2" w:rsidRPr="005D7C3D" w:rsidRDefault="00F53AB2" w:rsidP="003C3DAA">
            <w:pPr>
              <w:jc w:val="center"/>
              <w:rPr>
                <w:sz w:val="22"/>
                <w:szCs w:val="22"/>
              </w:rPr>
            </w:pPr>
            <w:r w:rsidRPr="005D7C3D">
              <w:rPr>
                <w:sz w:val="22"/>
                <w:szCs w:val="22"/>
              </w:rPr>
              <w:t>8/38</w:t>
            </w:r>
          </w:p>
        </w:tc>
        <w:tc>
          <w:tcPr>
            <w:tcW w:w="1468" w:type="dxa"/>
            <w:shd w:val="clear" w:color="auto" w:fill="auto"/>
            <w:noWrap/>
            <w:vAlign w:val="center"/>
          </w:tcPr>
          <w:p w14:paraId="15873CED" w14:textId="77777777" w:rsidR="00F53AB2" w:rsidRPr="005D7C3D" w:rsidRDefault="00F53AB2" w:rsidP="003C3DAA">
            <w:pPr>
              <w:jc w:val="right"/>
              <w:rPr>
                <w:sz w:val="22"/>
                <w:szCs w:val="22"/>
              </w:rPr>
            </w:pPr>
            <w:r w:rsidRPr="005D7C3D">
              <w:rPr>
                <w:sz w:val="22"/>
                <w:szCs w:val="22"/>
              </w:rPr>
              <w:t>21,05%</w:t>
            </w:r>
          </w:p>
        </w:tc>
      </w:tr>
      <w:tr w:rsidR="00F53AB2" w:rsidRPr="006739B2" w14:paraId="37EFDC88" w14:textId="77777777" w:rsidTr="003C3DAA">
        <w:trPr>
          <w:trHeight w:val="290"/>
        </w:trPr>
        <w:tc>
          <w:tcPr>
            <w:tcW w:w="851" w:type="dxa"/>
            <w:shd w:val="clear" w:color="auto" w:fill="auto"/>
            <w:noWrap/>
          </w:tcPr>
          <w:p w14:paraId="297B4B59" w14:textId="77777777" w:rsidR="00F53AB2" w:rsidRPr="005D7C3D" w:rsidRDefault="00F53AB2" w:rsidP="003C3DAA">
            <w:pPr>
              <w:jc w:val="center"/>
              <w:rPr>
                <w:sz w:val="22"/>
                <w:szCs w:val="22"/>
              </w:rPr>
            </w:pPr>
            <w:r w:rsidRPr="005D7C3D">
              <w:rPr>
                <w:sz w:val="22"/>
                <w:szCs w:val="22"/>
              </w:rPr>
              <w:t>3.</w:t>
            </w:r>
          </w:p>
        </w:tc>
        <w:tc>
          <w:tcPr>
            <w:tcW w:w="6095" w:type="dxa"/>
            <w:shd w:val="clear" w:color="auto" w:fill="auto"/>
            <w:noWrap/>
            <w:vAlign w:val="center"/>
          </w:tcPr>
          <w:p w14:paraId="7A065B3D" w14:textId="77777777" w:rsidR="00F53AB2" w:rsidRPr="005D7C3D" w:rsidRDefault="00F53AB2" w:rsidP="003C3DAA">
            <w:pPr>
              <w:rPr>
                <w:sz w:val="22"/>
                <w:szCs w:val="22"/>
              </w:rPr>
            </w:pPr>
            <w:r w:rsidRPr="005D7C3D">
              <w:rPr>
                <w:sz w:val="22"/>
                <w:szCs w:val="22"/>
              </w:rPr>
              <w:t>Institut za akreditovanje BiH</w:t>
            </w:r>
          </w:p>
        </w:tc>
        <w:tc>
          <w:tcPr>
            <w:tcW w:w="1276" w:type="dxa"/>
            <w:shd w:val="clear" w:color="auto" w:fill="auto"/>
            <w:noWrap/>
            <w:vAlign w:val="center"/>
          </w:tcPr>
          <w:p w14:paraId="60E72D71" w14:textId="77777777" w:rsidR="00F53AB2" w:rsidRPr="005D7C3D" w:rsidRDefault="00F53AB2" w:rsidP="003C3DAA">
            <w:pPr>
              <w:jc w:val="center"/>
              <w:rPr>
                <w:sz w:val="22"/>
                <w:szCs w:val="22"/>
              </w:rPr>
            </w:pPr>
            <w:r w:rsidRPr="005D7C3D">
              <w:rPr>
                <w:sz w:val="22"/>
                <w:szCs w:val="22"/>
              </w:rPr>
              <w:t>11/38</w:t>
            </w:r>
          </w:p>
        </w:tc>
        <w:tc>
          <w:tcPr>
            <w:tcW w:w="1468" w:type="dxa"/>
            <w:shd w:val="clear" w:color="auto" w:fill="auto"/>
            <w:noWrap/>
            <w:vAlign w:val="center"/>
          </w:tcPr>
          <w:p w14:paraId="1FC732AD" w14:textId="77777777" w:rsidR="00F53AB2" w:rsidRPr="005D7C3D" w:rsidRDefault="00F53AB2" w:rsidP="003C3DAA">
            <w:pPr>
              <w:jc w:val="right"/>
              <w:rPr>
                <w:sz w:val="22"/>
                <w:szCs w:val="22"/>
              </w:rPr>
            </w:pPr>
            <w:r w:rsidRPr="005D7C3D">
              <w:rPr>
                <w:sz w:val="22"/>
                <w:szCs w:val="22"/>
              </w:rPr>
              <w:t>28,95%</w:t>
            </w:r>
          </w:p>
        </w:tc>
      </w:tr>
      <w:tr w:rsidR="00F53AB2" w:rsidRPr="006739B2" w14:paraId="0F6ABA1D" w14:textId="77777777" w:rsidTr="003C3DAA">
        <w:trPr>
          <w:trHeight w:val="290"/>
        </w:trPr>
        <w:tc>
          <w:tcPr>
            <w:tcW w:w="851" w:type="dxa"/>
            <w:shd w:val="clear" w:color="auto" w:fill="auto"/>
            <w:noWrap/>
          </w:tcPr>
          <w:p w14:paraId="07EC2467" w14:textId="77777777" w:rsidR="00F53AB2" w:rsidRPr="005D7C3D" w:rsidRDefault="00F53AB2" w:rsidP="003C3DAA">
            <w:pPr>
              <w:jc w:val="center"/>
              <w:rPr>
                <w:sz w:val="22"/>
                <w:szCs w:val="22"/>
              </w:rPr>
            </w:pPr>
            <w:r w:rsidRPr="005D7C3D">
              <w:rPr>
                <w:sz w:val="22"/>
                <w:szCs w:val="22"/>
              </w:rPr>
              <w:t>4.</w:t>
            </w:r>
          </w:p>
        </w:tc>
        <w:tc>
          <w:tcPr>
            <w:tcW w:w="6095" w:type="dxa"/>
            <w:shd w:val="clear" w:color="auto" w:fill="auto"/>
            <w:noWrap/>
            <w:vAlign w:val="center"/>
          </w:tcPr>
          <w:p w14:paraId="093D327A" w14:textId="77777777" w:rsidR="00F53AB2" w:rsidRPr="005D7C3D" w:rsidRDefault="00F53AB2" w:rsidP="003C3DAA">
            <w:pPr>
              <w:rPr>
                <w:sz w:val="22"/>
                <w:szCs w:val="22"/>
              </w:rPr>
            </w:pPr>
            <w:r w:rsidRPr="005D7C3D">
              <w:rPr>
                <w:sz w:val="22"/>
                <w:szCs w:val="22"/>
              </w:rPr>
              <w:t>Vijeće za državnu pomoć BiH</w:t>
            </w:r>
          </w:p>
        </w:tc>
        <w:tc>
          <w:tcPr>
            <w:tcW w:w="1276" w:type="dxa"/>
            <w:shd w:val="clear" w:color="auto" w:fill="auto"/>
            <w:noWrap/>
            <w:vAlign w:val="center"/>
          </w:tcPr>
          <w:p w14:paraId="0BC6287F" w14:textId="77777777" w:rsidR="00F53AB2" w:rsidRPr="005D7C3D" w:rsidRDefault="00F53AB2" w:rsidP="003C3DAA">
            <w:pPr>
              <w:jc w:val="center"/>
              <w:rPr>
                <w:sz w:val="22"/>
                <w:szCs w:val="22"/>
              </w:rPr>
            </w:pPr>
            <w:r w:rsidRPr="005D7C3D">
              <w:rPr>
                <w:sz w:val="22"/>
                <w:szCs w:val="22"/>
              </w:rPr>
              <w:t>11/38</w:t>
            </w:r>
          </w:p>
        </w:tc>
        <w:tc>
          <w:tcPr>
            <w:tcW w:w="1468" w:type="dxa"/>
            <w:shd w:val="clear" w:color="auto" w:fill="auto"/>
            <w:noWrap/>
            <w:vAlign w:val="center"/>
          </w:tcPr>
          <w:p w14:paraId="4C0C5020" w14:textId="77777777" w:rsidR="00F53AB2" w:rsidRPr="005D7C3D" w:rsidRDefault="00F53AB2" w:rsidP="003C3DAA">
            <w:pPr>
              <w:jc w:val="right"/>
              <w:rPr>
                <w:sz w:val="22"/>
                <w:szCs w:val="22"/>
              </w:rPr>
            </w:pPr>
            <w:r w:rsidRPr="005D7C3D">
              <w:rPr>
                <w:sz w:val="22"/>
                <w:szCs w:val="22"/>
              </w:rPr>
              <w:t>28,95%</w:t>
            </w:r>
          </w:p>
        </w:tc>
      </w:tr>
      <w:tr w:rsidR="00F53AB2" w:rsidRPr="006739B2" w14:paraId="170F8C73" w14:textId="77777777" w:rsidTr="003C3DAA">
        <w:trPr>
          <w:trHeight w:val="290"/>
        </w:trPr>
        <w:tc>
          <w:tcPr>
            <w:tcW w:w="851" w:type="dxa"/>
            <w:shd w:val="clear" w:color="auto" w:fill="auto"/>
            <w:noWrap/>
          </w:tcPr>
          <w:p w14:paraId="0C729FE3" w14:textId="77777777" w:rsidR="00F53AB2" w:rsidRPr="005D7C3D" w:rsidRDefault="00F53AB2" w:rsidP="003C3DAA">
            <w:pPr>
              <w:jc w:val="center"/>
              <w:rPr>
                <w:sz w:val="22"/>
                <w:szCs w:val="22"/>
              </w:rPr>
            </w:pPr>
            <w:r w:rsidRPr="005D7C3D">
              <w:rPr>
                <w:sz w:val="22"/>
                <w:szCs w:val="22"/>
              </w:rPr>
              <w:t>5.</w:t>
            </w:r>
          </w:p>
        </w:tc>
        <w:tc>
          <w:tcPr>
            <w:tcW w:w="6095" w:type="dxa"/>
            <w:shd w:val="clear" w:color="auto" w:fill="auto"/>
            <w:noWrap/>
            <w:vAlign w:val="center"/>
          </w:tcPr>
          <w:p w14:paraId="246C8788" w14:textId="77777777" w:rsidR="00F53AB2" w:rsidRPr="005D7C3D" w:rsidRDefault="00F53AB2" w:rsidP="003C3DAA">
            <w:pPr>
              <w:rPr>
                <w:sz w:val="22"/>
                <w:szCs w:val="22"/>
              </w:rPr>
            </w:pPr>
            <w:r w:rsidRPr="005D7C3D">
              <w:rPr>
                <w:sz w:val="22"/>
                <w:szCs w:val="22"/>
              </w:rPr>
              <w:t>Ured za zakonodavstvo BiH</w:t>
            </w:r>
          </w:p>
        </w:tc>
        <w:tc>
          <w:tcPr>
            <w:tcW w:w="1276" w:type="dxa"/>
            <w:shd w:val="clear" w:color="auto" w:fill="auto"/>
            <w:noWrap/>
            <w:vAlign w:val="center"/>
          </w:tcPr>
          <w:p w14:paraId="72982B7E" w14:textId="77777777" w:rsidR="00F53AB2" w:rsidRPr="005D7C3D" w:rsidRDefault="00F53AB2" w:rsidP="003C3DAA">
            <w:pPr>
              <w:jc w:val="center"/>
              <w:rPr>
                <w:sz w:val="22"/>
                <w:szCs w:val="22"/>
              </w:rPr>
            </w:pPr>
            <w:r w:rsidRPr="005D7C3D">
              <w:rPr>
                <w:sz w:val="22"/>
                <w:szCs w:val="22"/>
              </w:rPr>
              <w:t>12/38</w:t>
            </w:r>
          </w:p>
        </w:tc>
        <w:tc>
          <w:tcPr>
            <w:tcW w:w="1468" w:type="dxa"/>
            <w:shd w:val="clear" w:color="auto" w:fill="auto"/>
            <w:noWrap/>
            <w:vAlign w:val="center"/>
          </w:tcPr>
          <w:p w14:paraId="52C97EBA" w14:textId="77777777" w:rsidR="00F53AB2" w:rsidRPr="005D7C3D" w:rsidRDefault="00F53AB2" w:rsidP="003C3DAA">
            <w:pPr>
              <w:jc w:val="right"/>
              <w:rPr>
                <w:sz w:val="22"/>
                <w:szCs w:val="22"/>
              </w:rPr>
            </w:pPr>
            <w:r w:rsidRPr="005D7C3D">
              <w:rPr>
                <w:sz w:val="22"/>
                <w:szCs w:val="22"/>
              </w:rPr>
              <w:t>31,58%</w:t>
            </w:r>
          </w:p>
        </w:tc>
      </w:tr>
      <w:tr w:rsidR="00F53AB2" w:rsidRPr="006739B2" w14:paraId="102B3EAD" w14:textId="77777777" w:rsidTr="003C3DAA">
        <w:trPr>
          <w:trHeight w:val="290"/>
        </w:trPr>
        <w:tc>
          <w:tcPr>
            <w:tcW w:w="851" w:type="dxa"/>
            <w:shd w:val="clear" w:color="auto" w:fill="auto"/>
            <w:noWrap/>
          </w:tcPr>
          <w:p w14:paraId="4A8BDA50" w14:textId="77777777" w:rsidR="00F53AB2" w:rsidRPr="005D7C3D" w:rsidRDefault="00F53AB2" w:rsidP="003C3DAA">
            <w:pPr>
              <w:jc w:val="center"/>
              <w:rPr>
                <w:sz w:val="22"/>
                <w:szCs w:val="22"/>
              </w:rPr>
            </w:pPr>
            <w:r w:rsidRPr="005D7C3D">
              <w:rPr>
                <w:sz w:val="22"/>
                <w:szCs w:val="22"/>
              </w:rPr>
              <w:t>6.</w:t>
            </w:r>
          </w:p>
        </w:tc>
        <w:tc>
          <w:tcPr>
            <w:tcW w:w="6095" w:type="dxa"/>
            <w:shd w:val="clear" w:color="auto" w:fill="auto"/>
            <w:noWrap/>
            <w:vAlign w:val="center"/>
          </w:tcPr>
          <w:p w14:paraId="7243144A" w14:textId="77777777" w:rsidR="00F53AB2" w:rsidRPr="005D7C3D" w:rsidRDefault="00F53AB2" w:rsidP="003C3DAA">
            <w:pPr>
              <w:rPr>
                <w:sz w:val="22"/>
                <w:szCs w:val="22"/>
              </w:rPr>
            </w:pPr>
            <w:r w:rsidRPr="005D7C3D">
              <w:rPr>
                <w:sz w:val="22"/>
                <w:szCs w:val="22"/>
              </w:rPr>
              <w:t>Granična policija BiH</w:t>
            </w:r>
          </w:p>
        </w:tc>
        <w:tc>
          <w:tcPr>
            <w:tcW w:w="1276" w:type="dxa"/>
            <w:shd w:val="clear" w:color="auto" w:fill="auto"/>
            <w:noWrap/>
            <w:vAlign w:val="center"/>
          </w:tcPr>
          <w:p w14:paraId="126E43EF" w14:textId="77777777" w:rsidR="00F53AB2" w:rsidRPr="005D7C3D" w:rsidRDefault="00F53AB2" w:rsidP="003C3DAA">
            <w:pPr>
              <w:jc w:val="center"/>
              <w:rPr>
                <w:sz w:val="22"/>
                <w:szCs w:val="22"/>
              </w:rPr>
            </w:pPr>
            <w:r w:rsidRPr="005D7C3D">
              <w:rPr>
                <w:sz w:val="22"/>
                <w:szCs w:val="22"/>
              </w:rPr>
              <w:t>16/38</w:t>
            </w:r>
          </w:p>
        </w:tc>
        <w:tc>
          <w:tcPr>
            <w:tcW w:w="1468" w:type="dxa"/>
            <w:shd w:val="clear" w:color="auto" w:fill="auto"/>
            <w:noWrap/>
            <w:vAlign w:val="center"/>
          </w:tcPr>
          <w:p w14:paraId="2B30F4C7" w14:textId="77777777" w:rsidR="00F53AB2" w:rsidRPr="005D7C3D" w:rsidRDefault="00F53AB2" w:rsidP="003C3DAA">
            <w:pPr>
              <w:jc w:val="right"/>
              <w:rPr>
                <w:sz w:val="22"/>
                <w:szCs w:val="22"/>
              </w:rPr>
            </w:pPr>
            <w:r w:rsidRPr="005D7C3D">
              <w:rPr>
                <w:sz w:val="22"/>
                <w:szCs w:val="22"/>
              </w:rPr>
              <w:t>42,11%</w:t>
            </w:r>
          </w:p>
        </w:tc>
      </w:tr>
      <w:tr w:rsidR="00F53AB2" w:rsidRPr="006739B2" w14:paraId="58573748" w14:textId="77777777" w:rsidTr="003C3DAA">
        <w:trPr>
          <w:trHeight w:val="290"/>
        </w:trPr>
        <w:tc>
          <w:tcPr>
            <w:tcW w:w="851" w:type="dxa"/>
            <w:shd w:val="clear" w:color="auto" w:fill="auto"/>
            <w:noWrap/>
          </w:tcPr>
          <w:p w14:paraId="66103828" w14:textId="77777777" w:rsidR="00F53AB2" w:rsidRPr="005D7C3D" w:rsidRDefault="00F53AB2" w:rsidP="003C3DAA">
            <w:pPr>
              <w:jc w:val="center"/>
              <w:rPr>
                <w:sz w:val="22"/>
                <w:szCs w:val="22"/>
              </w:rPr>
            </w:pPr>
            <w:r w:rsidRPr="005D7C3D">
              <w:rPr>
                <w:sz w:val="22"/>
                <w:szCs w:val="22"/>
              </w:rPr>
              <w:t>7.</w:t>
            </w:r>
          </w:p>
        </w:tc>
        <w:tc>
          <w:tcPr>
            <w:tcW w:w="6095" w:type="dxa"/>
            <w:shd w:val="clear" w:color="auto" w:fill="auto"/>
            <w:noWrap/>
            <w:vAlign w:val="center"/>
          </w:tcPr>
          <w:p w14:paraId="1747310C" w14:textId="77777777" w:rsidR="00F53AB2" w:rsidRPr="005D7C3D" w:rsidRDefault="00F53AB2" w:rsidP="003C3DAA">
            <w:pPr>
              <w:rPr>
                <w:sz w:val="22"/>
                <w:szCs w:val="22"/>
              </w:rPr>
            </w:pPr>
            <w:r w:rsidRPr="005D7C3D">
              <w:rPr>
                <w:sz w:val="22"/>
                <w:szCs w:val="22"/>
              </w:rPr>
              <w:t>Služba za zajedničke poslove institucija BiH</w:t>
            </w:r>
          </w:p>
        </w:tc>
        <w:tc>
          <w:tcPr>
            <w:tcW w:w="1276" w:type="dxa"/>
            <w:shd w:val="clear" w:color="auto" w:fill="auto"/>
            <w:noWrap/>
            <w:vAlign w:val="center"/>
          </w:tcPr>
          <w:p w14:paraId="21315D06" w14:textId="77777777" w:rsidR="00F53AB2" w:rsidRPr="005D7C3D" w:rsidRDefault="00F53AB2" w:rsidP="003C3DAA">
            <w:pPr>
              <w:jc w:val="center"/>
              <w:rPr>
                <w:sz w:val="22"/>
                <w:szCs w:val="22"/>
              </w:rPr>
            </w:pPr>
            <w:r w:rsidRPr="005D7C3D">
              <w:rPr>
                <w:sz w:val="22"/>
                <w:szCs w:val="22"/>
              </w:rPr>
              <w:t>17/38</w:t>
            </w:r>
          </w:p>
        </w:tc>
        <w:tc>
          <w:tcPr>
            <w:tcW w:w="1468" w:type="dxa"/>
            <w:shd w:val="clear" w:color="auto" w:fill="auto"/>
            <w:noWrap/>
            <w:vAlign w:val="center"/>
          </w:tcPr>
          <w:p w14:paraId="7DCA637A" w14:textId="77777777" w:rsidR="00F53AB2" w:rsidRPr="005D7C3D" w:rsidRDefault="00F53AB2" w:rsidP="003C3DAA">
            <w:pPr>
              <w:jc w:val="right"/>
              <w:rPr>
                <w:sz w:val="22"/>
                <w:szCs w:val="22"/>
              </w:rPr>
            </w:pPr>
            <w:r w:rsidRPr="005D7C3D">
              <w:rPr>
                <w:sz w:val="22"/>
                <w:szCs w:val="22"/>
              </w:rPr>
              <w:t>44,74%</w:t>
            </w:r>
          </w:p>
        </w:tc>
      </w:tr>
      <w:tr w:rsidR="00F53AB2" w:rsidRPr="006739B2" w14:paraId="568C43B8" w14:textId="77777777" w:rsidTr="003C3DAA">
        <w:trPr>
          <w:trHeight w:val="290"/>
        </w:trPr>
        <w:tc>
          <w:tcPr>
            <w:tcW w:w="851" w:type="dxa"/>
            <w:shd w:val="clear" w:color="auto" w:fill="auto"/>
            <w:noWrap/>
          </w:tcPr>
          <w:p w14:paraId="24F097A7" w14:textId="77777777" w:rsidR="00F53AB2" w:rsidRPr="005D7C3D" w:rsidRDefault="00F53AB2" w:rsidP="003C3DAA">
            <w:pPr>
              <w:jc w:val="center"/>
              <w:rPr>
                <w:sz w:val="22"/>
                <w:szCs w:val="22"/>
              </w:rPr>
            </w:pPr>
            <w:r w:rsidRPr="005D7C3D">
              <w:rPr>
                <w:sz w:val="22"/>
                <w:szCs w:val="22"/>
              </w:rPr>
              <w:t>8.</w:t>
            </w:r>
          </w:p>
        </w:tc>
        <w:tc>
          <w:tcPr>
            <w:tcW w:w="6095" w:type="dxa"/>
            <w:shd w:val="clear" w:color="auto" w:fill="auto"/>
            <w:noWrap/>
            <w:vAlign w:val="center"/>
          </w:tcPr>
          <w:p w14:paraId="3CF6BAFC" w14:textId="77777777" w:rsidR="00F53AB2" w:rsidRPr="005D7C3D" w:rsidRDefault="00F53AB2" w:rsidP="003C3DAA">
            <w:pPr>
              <w:rPr>
                <w:sz w:val="22"/>
                <w:szCs w:val="22"/>
              </w:rPr>
            </w:pPr>
            <w:r w:rsidRPr="005D7C3D">
              <w:rPr>
                <w:sz w:val="22"/>
                <w:szCs w:val="22"/>
              </w:rPr>
              <w:t>Agencija za forenzička ispitivanja i vještačenja BiH</w:t>
            </w:r>
          </w:p>
        </w:tc>
        <w:tc>
          <w:tcPr>
            <w:tcW w:w="1276" w:type="dxa"/>
            <w:shd w:val="clear" w:color="auto" w:fill="auto"/>
            <w:noWrap/>
            <w:vAlign w:val="center"/>
          </w:tcPr>
          <w:p w14:paraId="60701CCD" w14:textId="77777777" w:rsidR="00F53AB2" w:rsidRPr="005D7C3D" w:rsidRDefault="00F53AB2" w:rsidP="003C3DAA">
            <w:pPr>
              <w:jc w:val="center"/>
              <w:rPr>
                <w:sz w:val="22"/>
                <w:szCs w:val="22"/>
              </w:rPr>
            </w:pPr>
            <w:r w:rsidRPr="005D7C3D">
              <w:rPr>
                <w:sz w:val="22"/>
                <w:szCs w:val="22"/>
              </w:rPr>
              <w:t>19/38</w:t>
            </w:r>
          </w:p>
        </w:tc>
        <w:tc>
          <w:tcPr>
            <w:tcW w:w="1468" w:type="dxa"/>
            <w:shd w:val="clear" w:color="auto" w:fill="auto"/>
            <w:noWrap/>
            <w:vAlign w:val="center"/>
          </w:tcPr>
          <w:p w14:paraId="480DDAB6" w14:textId="77777777" w:rsidR="00F53AB2" w:rsidRPr="005D7C3D" w:rsidRDefault="00F53AB2" w:rsidP="003C3DAA">
            <w:pPr>
              <w:jc w:val="right"/>
              <w:rPr>
                <w:sz w:val="22"/>
                <w:szCs w:val="22"/>
              </w:rPr>
            </w:pPr>
            <w:r w:rsidRPr="005D7C3D">
              <w:rPr>
                <w:sz w:val="22"/>
                <w:szCs w:val="22"/>
              </w:rPr>
              <w:t>50</w:t>
            </w:r>
            <w:r>
              <w:rPr>
                <w:sz w:val="22"/>
                <w:szCs w:val="22"/>
              </w:rPr>
              <w:t>,00</w:t>
            </w:r>
            <w:r w:rsidRPr="005D7C3D">
              <w:rPr>
                <w:sz w:val="22"/>
                <w:szCs w:val="22"/>
              </w:rPr>
              <w:t>%</w:t>
            </w:r>
          </w:p>
        </w:tc>
      </w:tr>
      <w:tr w:rsidR="00F53AB2" w:rsidRPr="006739B2" w14:paraId="3719D857" w14:textId="77777777" w:rsidTr="003C3DAA">
        <w:trPr>
          <w:trHeight w:val="290"/>
        </w:trPr>
        <w:tc>
          <w:tcPr>
            <w:tcW w:w="851" w:type="dxa"/>
            <w:shd w:val="clear" w:color="auto" w:fill="auto"/>
            <w:noWrap/>
          </w:tcPr>
          <w:p w14:paraId="5E0ECE3F" w14:textId="77777777" w:rsidR="00F53AB2" w:rsidRPr="005D7C3D" w:rsidRDefault="00F53AB2" w:rsidP="003C3DAA">
            <w:pPr>
              <w:jc w:val="center"/>
              <w:rPr>
                <w:sz w:val="22"/>
                <w:szCs w:val="22"/>
              </w:rPr>
            </w:pPr>
            <w:r w:rsidRPr="005D7C3D">
              <w:rPr>
                <w:sz w:val="22"/>
                <w:szCs w:val="22"/>
              </w:rPr>
              <w:t>9.</w:t>
            </w:r>
          </w:p>
        </w:tc>
        <w:tc>
          <w:tcPr>
            <w:tcW w:w="6095" w:type="dxa"/>
            <w:shd w:val="clear" w:color="auto" w:fill="auto"/>
            <w:noWrap/>
            <w:vAlign w:val="center"/>
          </w:tcPr>
          <w:p w14:paraId="790B3002" w14:textId="77777777" w:rsidR="00F53AB2" w:rsidRPr="005D7C3D" w:rsidRDefault="00F53AB2" w:rsidP="003C3DAA">
            <w:pPr>
              <w:rPr>
                <w:sz w:val="22"/>
                <w:szCs w:val="22"/>
              </w:rPr>
            </w:pPr>
            <w:r w:rsidRPr="005D7C3D">
              <w:rPr>
                <w:sz w:val="22"/>
                <w:szCs w:val="22"/>
              </w:rPr>
              <w:t>Ministarstvo vanjske trgovine i ekonomskih odnosa BiH</w:t>
            </w:r>
          </w:p>
        </w:tc>
        <w:tc>
          <w:tcPr>
            <w:tcW w:w="1276" w:type="dxa"/>
            <w:shd w:val="clear" w:color="auto" w:fill="auto"/>
            <w:noWrap/>
            <w:vAlign w:val="center"/>
          </w:tcPr>
          <w:p w14:paraId="3D3DB6DC" w14:textId="77777777" w:rsidR="00F53AB2" w:rsidRPr="005D7C3D" w:rsidRDefault="00F53AB2" w:rsidP="003C3DAA">
            <w:pPr>
              <w:jc w:val="center"/>
              <w:rPr>
                <w:sz w:val="22"/>
                <w:szCs w:val="22"/>
              </w:rPr>
            </w:pPr>
            <w:r w:rsidRPr="005D7C3D">
              <w:rPr>
                <w:sz w:val="22"/>
                <w:szCs w:val="22"/>
              </w:rPr>
              <w:t>20/38</w:t>
            </w:r>
          </w:p>
        </w:tc>
        <w:tc>
          <w:tcPr>
            <w:tcW w:w="1468" w:type="dxa"/>
            <w:shd w:val="clear" w:color="auto" w:fill="auto"/>
            <w:noWrap/>
            <w:vAlign w:val="center"/>
          </w:tcPr>
          <w:p w14:paraId="039CF2C3" w14:textId="77777777" w:rsidR="00F53AB2" w:rsidRPr="005D7C3D" w:rsidRDefault="00F53AB2" w:rsidP="003C3DAA">
            <w:pPr>
              <w:jc w:val="right"/>
              <w:rPr>
                <w:sz w:val="22"/>
                <w:szCs w:val="22"/>
              </w:rPr>
            </w:pPr>
            <w:r w:rsidRPr="005D7C3D">
              <w:rPr>
                <w:sz w:val="22"/>
                <w:szCs w:val="22"/>
              </w:rPr>
              <w:t>52,63%</w:t>
            </w:r>
          </w:p>
        </w:tc>
      </w:tr>
      <w:tr w:rsidR="00F53AB2" w:rsidRPr="006739B2" w14:paraId="3881E878" w14:textId="77777777" w:rsidTr="003C3DAA">
        <w:trPr>
          <w:trHeight w:val="290"/>
        </w:trPr>
        <w:tc>
          <w:tcPr>
            <w:tcW w:w="851" w:type="dxa"/>
            <w:shd w:val="clear" w:color="auto" w:fill="auto"/>
            <w:noWrap/>
          </w:tcPr>
          <w:p w14:paraId="758D4F9A" w14:textId="77777777" w:rsidR="00F53AB2" w:rsidRPr="005D7C3D" w:rsidRDefault="00F53AB2" w:rsidP="003C3DAA">
            <w:pPr>
              <w:jc w:val="center"/>
              <w:rPr>
                <w:sz w:val="22"/>
                <w:szCs w:val="22"/>
              </w:rPr>
            </w:pPr>
            <w:r w:rsidRPr="005D7C3D">
              <w:rPr>
                <w:sz w:val="22"/>
                <w:szCs w:val="22"/>
              </w:rPr>
              <w:t>10.</w:t>
            </w:r>
          </w:p>
        </w:tc>
        <w:tc>
          <w:tcPr>
            <w:tcW w:w="6095" w:type="dxa"/>
            <w:shd w:val="clear" w:color="auto" w:fill="auto"/>
            <w:noWrap/>
            <w:vAlign w:val="center"/>
          </w:tcPr>
          <w:p w14:paraId="4933CA85" w14:textId="77777777" w:rsidR="00F53AB2" w:rsidRPr="005D7C3D" w:rsidRDefault="00F53AB2" w:rsidP="003C3DAA">
            <w:pPr>
              <w:rPr>
                <w:sz w:val="22"/>
                <w:szCs w:val="22"/>
              </w:rPr>
            </w:pPr>
            <w:r w:rsidRPr="005D7C3D">
              <w:rPr>
                <w:sz w:val="22"/>
                <w:szCs w:val="22"/>
              </w:rPr>
              <w:t>Centralna izborna komisija BiH</w:t>
            </w:r>
          </w:p>
        </w:tc>
        <w:tc>
          <w:tcPr>
            <w:tcW w:w="1276" w:type="dxa"/>
            <w:shd w:val="clear" w:color="auto" w:fill="auto"/>
            <w:noWrap/>
            <w:vAlign w:val="center"/>
          </w:tcPr>
          <w:p w14:paraId="62ED28A8" w14:textId="77777777" w:rsidR="00F53AB2" w:rsidRPr="005D7C3D" w:rsidRDefault="00F53AB2" w:rsidP="003C3DAA">
            <w:pPr>
              <w:jc w:val="center"/>
              <w:rPr>
                <w:sz w:val="22"/>
                <w:szCs w:val="22"/>
              </w:rPr>
            </w:pPr>
            <w:r w:rsidRPr="005D7C3D">
              <w:rPr>
                <w:sz w:val="22"/>
                <w:szCs w:val="22"/>
              </w:rPr>
              <w:t>21/38</w:t>
            </w:r>
          </w:p>
        </w:tc>
        <w:tc>
          <w:tcPr>
            <w:tcW w:w="1468" w:type="dxa"/>
            <w:shd w:val="clear" w:color="auto" w:fill="auto"/>
            <w:noWrap/>
            <w:vAlign w:val="center"/>
          </w:tcPr>
          <w:p w14:paraId="3F3D94CA" w14:textId="77777777" w:rsidR="00F53AB2" w:rsidRPr="005D7C3D" w:rsidRDefault="00F53AB2" w:rsidP="003C3DAA">
            <w:pPr>
              <w:jc w:val="right"/>
              <w:rPr>
                <w:sz w:val="22"/>
                <w:szCs w:val="22"/>
              </w:rPr>
            </w:pPr>
            <w:r w:rsidRPr="005D7C3D">
              <w:rPr>
                <w:sz w:val="22"/>
                <w:szCs w:val="22"/>
              </w:rPr>
              <w:t>55,26%</w:t>
            </w:r>
          </w:p>
        </w:tc>
      </w:tr>
      <w:tr w:rsidR="00F53AB2" w:rsidRPr="006739B2" w14:paraId="462D783A" w14:textId="77777777" w:rsidTr="003C3DAA">
        <w:trPr>
          <w:trHeight w:val="290"/>
        </w:trPr>
        <w:tc>
          <w:tcPr>
            <w:tcW w:w="851" w:type="dxa"/>
            <w:shd w:val="clear" w:color="auto" w:fill="auto"/>
            <w:noWrap/>
          </w:tcPr>
          <w:p w14:paraId="6AC00A53" w14:textId="77777777" w:rsidR="00F53AB2" w:rsidRPr="005D7C3D" w:rsidRDefault="00F53AB2" w:rsidP="003C3DAA">
            <w:pPr>
              <w:jc w:val="center"/>
              <w:rPr>
                <w:sz w:val="22"/>
                <w:szCs w:val="22"/>
              </w:rPr>
            </w:pPr>
            <w:r w:rsidRPr="005D7C3D">
              <w:rPr>
                <w:sz w:val="22"/>
                <w:szCs w:val="22"/>
              </w:rPr>
              <w:t>11.</w:t>
            </w:r>
          </w:p>
        </w:tc>
        <w:tc>
          <w:tcPr>
            <w:tcW w:w="6095" w:type="dxa"/>
            <w:shd w:val="clear" w:color="auto" w:fill="auto"/>
            <w:noWrap/>
            <w:vAlign w:val="center"/>
          </w:tcPr>
          <w:p w14:paraId="6458FDF9" w14:textId="77777777" w:rsidR="00F53AB2" w:rsidRPr="005D7C3D" w:rsidRDefault="00F53AB2" w:rsidP="003C3DAA">
            <w:pPr>
              <w:rPr>
                <w:sz w:val="22"/>
                <w:szCs w:val="22"/>
              </w:rPr>
            </w:pPr>
            <w:r w:rsidRPr="005D7C3D">
              <w:rPr>
                <w:sz w:val="22"/>
                <w:szCs w:val="22"/>
              </w:rPr>
              <w:t>Fond za povratak BiH</w:t>
            </w:r>
          </w:p>
        </w:tc>
        <w:tc>
          <w:tcPr>
            <w:tcW w:w="1276" w:type="dxa"/>
            <w:shd w:val="clear" w:color="auto" w:fill="auto"/>
            <w:noWrap/>
            <w:vAlign w:val="center"/>
          </w:tcPr>
          <w:p w14:paraId="451421E8" w14:textId="77777777" w:rsidR="00F53AB2" w:rsidRPr="005D7C3D" w:rsidRDefault="00F53AB2" w:rsidP="003C3DAA">
            <w:pPr>
              <w:jc w:val="center"/>
              <w:rPr>
                <w:sz w:val="22"/>
                <w:szCs w:val="22"/>
              </w:rPr>
            </w:pPr>
            <w:r w:rsidRPr="005D7C3D">
              <w:rPr>
                <w:sz w:val="22"/>
                <w:szCs w:val="22"/>
              </w:rPr>
              <w:t>21/38</w:t>
            </w:r>
          </w:p>
        </w:tc>
        <w:tc>
          <w:tcPr>
            <w:tcW w:w="1468" w:type="dxa"/>
            <w:shd w:val="clear" w:color="auto" w:fill="auto"/>
            <w:noWrap/>
            <w:vAlign w:val="center"/>
          </w:tcPr>
          <w:p w14:paraId="3065A310" w14:textId="77777777" w:rsidR="00F53AB2" w:rsidRPr="005D7C3D" w:rsidRDefault="00F53AB2" w:rsidP="003C3DAA">
            <w:pPr>
              <w:jc w:val="right"/>
              <w:rPr>
                <w:sz w:val="22"/>
                <w:szCs w:val="22"/>
              </w:rPr>
            </w:pPr>
            <w:r w:rsidRPr="005D7C3D">
              <w:rPr>
                <w:sz w:val="22"/>
                <w:szCs w:val="22"/>
              </w:rPr>
              <w:t>55,26%</w:t>
            </w:r>
          </w:p>
        </w:tc>
      </w:tr>
      <w:tr w:rsidR="00F53AB2" w:rsidRPr="006739B2" w14:paraId="357AEEA5" w14:textId="77777777" w:rsidTr="003C3DAA">
        <w:trPr>
          <w:trHeight w:val="290"/>
        </w:trPr>
        <w:tc>
          <w:tcPr>
            <w:tcW w:w="851" w:type="dxa"/>
            <w:shd w:val="clear" w:color="auto" w:fill="auto"/>
            <w:noWrap/>
          </w:tcPr>
          <w:p w14:paraId="596A139F" w14:textId="77777777" w:rsidR="00F53AB2" w:rsidRPr="005D7C3D" w:rsidRDefault="00F53AB2" w:rsidP="003C3DAA">
            <w:pPr>
              <w:jc w:val="center"/>
              <w:rPr>
                <w:sz w:val="22"/>
                <w:szCs w:val="22"/>
              </w:rPr>
            </w:pPr>
            <w:r w:rsidRPr="005D7C3D">
              <w:rPr>
                <w:sz w:val="22"/>
                <w:szCs w:val="22"/>
              </w:rPr>
              <w:t>12.</w:t>
            </w:r>
          </w:p>
        </w:tc>
        <w:tc>
          <w:tcPr>
            <w:tcW w:w="6095" w:type="dxa"/>
            <w:shd w:val="clear" w:color="auto" w:fill="auto"/>
            <w:noWrap/>
            <w:vAlign w:val="center"/>
          </w:tcPr>
          <w:p w14:paraId="557FB0B3" w14:textId="77777777" w:rsidR="00F53AB2" w:rsidRPr="005D7C3D" w:rsidRDefault="00F53AB2" w:rsidP="003C3DAA">
            <w:pPr>
              <w:rPr>
                <w:sz w:val="22"/>
                <w:szCs w:val="22"/>
              </w:rPr>
            </w:pPr>
            <w:r w:rsidRPr="005D7C3D">
              <w:rPr>
                <w:sz w:val="22"/>
                <w:szCs w:val="22"/>
              </w:rPr>
              <w:t>Ured za veterinarstvo BiH</w:t>
            </w:r>
          </w:p>
        </w:tc>
        <w:tc>
          <w:tcPr>
            <w:tcW w:w="1276" w:type="dxa"/>
            <w:shd w:val="clear" w:color="auto" w:fill="auto"/>
            <w:noWrap/>
            <w:vAlign w:val="center"/>
          </w:tcPr>
          <w:p w14:paraId="1EAA991F" w14:textId="77777777" w:rsidR="00F53AB2" w:rsidRPr="005D7C3D" w:rsidRDefault="00F53AB2" w:rsidP="003C3DAA">
            <w:pPr>
              <w:jc w:val="center"/>
              <w:rPr>
                <w:sz w:val="22"/>
                <w:szCs w:val="22"/>
              </w:rPr>
            </w:pPr>
            <w:r w:rsidRPr="005D7C3D">
              <w:rPr>
                <w:sz w:val="22"/>
                <w:szCs w:val="22"/>
              </w:rPr>
              <w:t>21/38</w:t>
            </w:r>
          </w:p>
        </w:tc>
        <w:tc>
          <w:tcPr>
            <w:tcW w:w="1468" w:type="dxa"/>
            <w:shd w:val="clear" w:color="auto" w:fill="auto"/>
            <w:noWrap/>
            <w:vAlign w:val="center"/>
          </w:tcPr>
          <w:p w14:paraId="11C108CA" w14:textId="77777777" w:rsidR="00F53AB2" w:rsidRPr="005D7C3D" w:rsidRDefault="00F53AB2" w:rsidP="003C3DAA">
            <w:pPr>
              <w:jc w:val="right"/>
              <w:rPr>
                <w:sz w:val="22"/>
                <w:szCs w:val="22"/>
              </w:rPr>
            </w:pPr>
            <w:r w:rsidRPr="005D7C3D">
              <w:rPr>
                <w:sz w:val="22"/>
                <w:szCs w:val="22"/>
              </w:rPr>
              <w:t>55,26%</w:t>
            </w:r>
          </w:p>
        </w:tc>
      </w:tr>
      <w:tr w:rsidR="00F53AB2" w:rsidRPr="006739B2" w14:paraId="5847C776" w14:textId="77777777" w:rsidTr="003C3DAA">
        <w:trPr>
          <w:trHeight w:val="290"/>
        </w:trPr>
        <w:tc>
          <w:tcPr>
            <w:tcW w:w="851" w:type="dxa"/>
            <w:shd w:val="clear" w:color="auto" w:fill="auto"/>
            <w:noWrap/>
          </w:tcPr>
          <w:p w14:paraId="482211CC" w14:textId="77777777" w:rsidR="00F53AB2" w:rsidRPr="005D7C3D" w:rsidRDefault="00F53AB2" w:rsidP="003C3DAA">
            <w:pPr>
              <w:jc w:val="center"/>
              <w:rPr>
                <w:sz w:val="22"/>
                <w:szCs w:val="22"/>
              </w:rPr>
            </w:pPr>
            <w:r w:rsidRPr="005D7C3D">
              <w:rPr>
                <w:sz w:val="22"/>
                <w:szCs w:val="22"/>
              </w:rPr>
              <w:t>13.</w:t>
            </w:r>
          </w:p>
        </w:tc>
        <w:tc>
          <w:tcPr>
            <w:tcW w:w="6095" w:type="dxa"/>
            <w:shd w:val="clear" w:color="auto" w:fill="auto"/>
            <w:noWrap/>
            <w:vAlign w:val="center"/>
          </w:tcPr>
          <w:p w14:paraId="5E11A17D" w14:textId="77777777" w:rsidR="00F53AB2" w:rsidRPr="005D7C3D" w:rsidRDefault="00F53AB2" w:rsidP="003C3DAA">
            <w:pPr>
              <w:rPr>
                <w:sz w:val="22"/>
                <w:szCs w:val="22"/>
              </w:rPr>
            </w:pPr>
            <w:r w:rsidRPr="005D7C3D">
              <w:rPr>
                <w:sz w:val="22"/>
                <w:szCs w:val="22"/>
              </w:rPr>
              <w:t>Direkcija za koordinaciju policijskih tijela BiH</w:t>
            </w:r>
          </w:p>
        </w:tc>
        <w:tc>
          <w:tcPr>
            <w:tcW w:w="1276" w:type="dxa"/>
            <w:shd w:val="clear" w:color="auto" w:fill="auto"/>
            <w:noWrap/>
            <w:vAlign w:val="center"/>
          </w:tcPr>
          <w:p w14:paraId="656D2534" w14:textId="77777777" w:rsidR="00F53AB2" w:rsidRPr="005D7C3D" w:rsidRDefault="00F53AB2" w:rsidP="003C3DAA">
            <w:pPr>
              <w:jc w:val="center"/>
              <w:rPr>
                <w:sz w:val="22"/>
                <w:szCs w:val="22"/>
              </w:rPr>
            </w:pPr>
            <w:r w:rsidRPr="005D7C3D">
              <w:rPr>
                <w:sz w:val="22"/>
                <w:szCs w:val="22"/>
              </w:rPr>
              <w:t>22/38</w:t>
            </w:r>
          </w:p>
        </w:tc>
        <w:tc>
          <w:tcPr>
            <w:tcW w:w="1468" w:type="dxa"/>
            <w:shd w:val="clear" w:color="auto" w:fill="auto"/>
            <w:noWrap/>
            <w:vAlign w:val="center"/>
          </w:tcPr>
          <w:p w14:paraId="27393234" w14:textId="77777777" w:rsidR="00F53AB2" w:rsidRPr="005D7C3D" w:rsidRDefault="00F53AB2" w:rsidP="003C3DAA">
            <w:pPr>
              <w:jc w:val="right"/>
              <w:rPr>
                <w:sz w:val="22"/>
                <w:szCs w:val="22"/>
              </w:rPr>
            </w:pPr>
            <w:r w:rsidRPr="005D7C3D">
              <w:rPr>
                <w:sz w:val="22"/>
                <w:szCs w:val="22"/>
              </w:rPr>
              <w:t>57,89%</w:t>
            </w:r>
          </w:p>
        </w:tc>
      </w:tr>
      <w:tr w:rsidR="00F53AB2" w:rsidRPr="006739B2" w14:paraId="63025233" w14:textId="77777777" w:rsidTr="003C3DAA">
        <w:trPr>
          <w:trHeight w:val="290"/>
        </w:trPr>
        <w:tc>
          <w:tcPr>
            <w:tcW w:w="851" w:type="dxa"/>
            <w:shd w:val="clear" w:color="auto" w:fill="auto"/>
            <w:noWrap/>
          </w:tcPr>
          <w:p w14:paraId="54BBDA26" w14:textId="77777777" w:rsidR="00F53AB2" w:rsidRPr="005D7C3D" w:rsidRDefault="00F53AB2" w:rsidP="003C3DAA">
            <w:pPr>
              <w:jc w:val="center"/>
              <w:rPr>
                <w:sz w:val="22"/>
                <w:szCs w:val="22"/>
              </w:rPr>
            </w:pPr>
            <w:r w:rsidRPr="005D7C3D">
              <w:rPr>
                <w:sz w:val="22"/>
                <w:szCs w:val="22"/>
              </w:rPr>
              <w:t>14.</w:t>
            </w:r>
          </w:p>
        </w:tc>
        <w:tc>
          <w:tcPr>
            <w:tcW w:w="6095" w:type="dxa"/>
            <w:shd w:val="clear" w:color="auto" w:fill="auto"/>
            <w:noWrap/>
            <w:vAlign w:val="center"/>
          </w:tcPr>
          <w:p w14:paraId="45ACCD4E" w14:textId="77777777" w:rsidR="00F53AB2" w:rsidRPr="005D7C3D" w:rsidRDefault="00F53AB2" w:rsidP="003C3DAA">
            <w:pPr>
              <w:rPr>
                <w:sz w:val="22"/>
                <w:szCs w:val="22"/>
              </w:rPr>
            </w:pPr>
            <w:r w:rsidRPr="005D7C3D">
              <w:rPr>
                <w:sz w:val="22"/>
                <w:szCs w:val="22"/>
              </w:rPr>
              <w:t>Sud BiH</w:t>
            </w:r>
          </w:p>
        </w:tc>
        <w:tc>
          <w:tcPr>
            <w:tcW w:w="1276" w:type="dxa"/>
            <w:shd w:val="clear" w:color="auto" w:fill="auto"/>
            <w:noWrap/>
            <w:vAlign w:val="center"/>
          </w:tcPr>
          <w:p w14:paraId="114CF996" w14:textId="77777777" w:rsidR="00F53AB2" w:rsidRPr="005D7C3D" w:rsidRDefault="00F53AB2" w:rsidP="003C3DAA">
            <w:pPr>
              <w:jc w:val="center"/>
              <w:rPr>
                <w:sz w:val="22"/>
                <w:szCs w:val="22"/>
              </w:rPr>
            </w:pPr>
            <w:r w:rsidRPr="005D7C3D">
              <w:rPr>
                <w:sz w:val="22"/>
                <w:szCs w:val="22"/>
              </w:rPr>
              <w:t>22/38</w:t>
            </w:r>
          </w:p>
        </w:tc>
        <w:tc>
          <w:tcPr>
            <w:tcW w:w="1468" w:type="dxa"/>
            <w:shd w:val="clear" w:color="auto" w:fill="auto"/>
            <w:noWrap/>
            <w:vAlign w:val="center"/>
          </w:tcPr>
          <w:p w14:paraId="510FB793" w14:textId="77777777" w:rsidR="00F53AB2" w:rsidRPr="005D7C3D" w:rsidRDefault="00F53AB2" w:rsidP="003C3DAA">
            <w:pPr>
              <w:jc w:val="right"/>
              <w:rPr>
                <w:sz w:val="22"/>
                <w:szCs w:val="22"/>
              </w:rPr>
            </w:pPr>
            <w:r w:rsidRPr="005D7C3D">
              <w:rPr>
                <w:sz w:val="22"/>
                <w:szCs w:val="22"/>
              </w:rPr>
              <w:t>57,89%</w:t>
            </w:r>
          </w:p>
        </w:tc>
      </w:tr>
      <w:tr w:rsidR="00F53AB2" w:rsidRPr="006739B2" w14:paraId="3B2C46D5" w14:textId="77777777" w:rsidTr="003C3DAA">
        <w:trPr>
          <w:trHeight w:val="290"/>
        </w:trPr>
        <w:tc>
          <w:tcPr>
            <w:tcW w:w="851" w:type="dxa"/>
            <w:shd w:val="clear" w:color="auto" w:fill="auto"/>
            <w:noWrap/>
          </w:tcPr>
          <w:p w14:paraId="6B185986" w14:textId="77777777" w:rsidR="00F53AB2" w:rsidRPr="005D7C3D" w:rsidRDefault="00F53AB2" w:rsidP="003C3DAA">
            <w:pPr>
              <w:jc w:val="center"/>
              <w:rPr>
                <w:sz w:val="22"/>
                <w:szCs w:val="22"/>
              </w:rPr>
            </w:pPr>
            <w:r w:rsidRPr="005D7C3D">
              <w:rPr>
                <w:sz w:val="22"/>
                <w:szCs w:val="22"/>
              </w:rPr>
              <w:t>15.</w:t>
            </w:r>
          </w:p>
        </w:tc>
        <w:tc>
          <w:tcPr>
            <w:tcW w:w="6095" w:type="dxa"/>
            <w:shd w:val="clear" w:color="auto" w:fill="auto"/>
            <w:noWrap/>
            <w:vAlign w:val="center"/>
          </w:tcPr>
          <w:p w14:paraId="202F5235" w14:textId="77777777" w:rsidR="00F53AB2" w:rsidRPr="005D7C3D" w:rsidRDefault="00F53AB2" w:rsidP="003C3DAA">
            <w:pPr>
              <w:rPr>
                <w:sz w:val="22"/>
                <w:szCs w:val="22"/>
              </w:rPr>
            </w:pPr>
            <w:r w:rsidRPr="005D7C3D">
              <w:rPr>
                <w:sz w:val="22"/>
                <w:szCs w:val="22"/>
              </w:rPr>
              <w:t>Ustavni sud BiH</w:t>
            </w:r>
          </w:p>
        </w:tc>
        <w:tc>
          <w:tcPr>
            <w:tcW w:w="1276" w:type="dxa"/>
            <w:shd w:val="clear" w:color="auto" w:fill="auto"/>
            <w:noWrap/>
            <w:vAlign w:val="center"/>
          </w:tcPr>
          <w:p w14:paraId="52717DB7" w14:textId="77777777" w:rsidR="00F53AB2" w:rsidRPr="005D7C3D" w:rsidRDefault="00F53AB2" w:rsidP="003C3DAA">
            <w:pPr>
              <w:jc w:val="center"/>
              <w:rPr>
                <w:sz w:val="22"/>
                <w:szCs w:val="22"/>
              </w:rPr>
            </w:pPr>
            <w:r w:rsidRPr="005D7C3D">
              <w:rPr>
                <w:sz w:val="22"/>
                <w:szCs w:val="22"/>
              </w:rPr>
              <w:t>22/38</w:t>
            </w:r>
          </w:p>
        </w:tc>
        <w:tc>
          <w:tcPr>
            <w:tcW w:w="1468" w:type="dxa"/>
            <w:shd w:val="clear" w:color="auto" w:fill="auto"/>
            <w:noWrap/>
            <w:vAlign w:val="center"/>
          </w:tcPr>
          <w:p w14:paraId="66F0B3BD" w14:textId="77777777" w:rsidR="00F53AB2" w:rsidRPr="005D7C3D" w:rsidRDefault="00F53AB2" w:rsidP="003C3DAA">
            <w:pPr>
              <w:jc w:val="right"/>
              <w:rPr>
                <w:sz w:val="22"/>
                <w:szCs w:val="22"/>
              </w:rPr>
            </w:pPr>
            <w:r w:rsidRPr="005D7C3D">
              <w:rPr>
                <w:sz w:val="22"/>
                <w:szCs w:val="22"/>
              </w:rPr>
              <w:t>57,89%</w:t>
            </w:r>
          </w:p>
        </w:tc>
      </w:tr>
      <w:tr w:rsidR="00F53AB2" w:rsidRPr="006739B2" w14:paraId="132ED01C" w14:textId="77777777" w:rsidTr="003C3DAA">
        <w:trPr>
          <w:trHeight w:val="290"/>
        </w:trPr>
        <w:tc>
          <w:tcPr>
            <w:tcW w:w="851" w:type="dxa"/>
            <w:shd w:val="clear" w:color="auto" w:fill="auto"/>
            <w:noWrap/>
          </w:tcPr>
          <w:p w14:paraId="2CA625CF" w14:textId="77777777" w:rsidR="00F53AB2" w:rsidRPr="005D7C3D" w:rsidRDefault="00F53AB2" w:rsidP="003C3DAA">
            <w:pPr>
              <w:jc w:val="center"/>
              <w:rPr>
                <w:sz w:val="22"/>
                <w:szCs w:val="22"/>
              </w:rPr>
            </w:pPr>
            <w:r w:rsidRPr="005D7C3D">
              <w:rPr>
                <w:sz w:val="22"/>
                <w:szCs w:val="22"/>
              </w:rPr>
              <w:t>16.</w:t>
            </w:r>
          </w:p>
        </w:tc>
        <w:tc>
          <w:tcPr>
            <w:tcW w:w="6095" w:type="dxa"/>
            <w:shd w:val="clear" w:color="auto" w:fill="auto"/>
            <w:noWrap/>
            <w:vAlign w:val="center"/>
          </w:tcPr>
          <w:p w14:paraId="7D053429" w14:textId="77777777" w:rsidR="00F53AB2" w:rsidRPr="005D7C3D" w:rsidRDefault="00F53AB2" w:rsidP="003C3DAA">
            <w:pPr>
              <w:rPr>
                <w:sz w:val="22"/>
                <w:szCs w:val="22"/>
              </w:rPr>
            </w:pPr>
            <w:r w:rsidRPr="005D7C3D">
              <w:rPr>
                <w:sz w:val="22"/>
                <w:szCs w:val="22"/>
              </w:rPr>
              <w:t>Agencija za identifikacione dokumente, evidenciju i razmjenu podataka BiH</w:t>
            </w:r>
          </w:p>
        </w:tc>
        <w:tc>
          <w:tcPr>
            <w:tcW w:w="1276" w:type="dxa"/>
            <w:shd w:val="clear" w:color="auto" w:fill="auto"/>
            <w:noWrap/>
            <w:vAlign w:val="center"/>
          </w:tcPr>
          <w:p w14:paraId="4BAF116A" w14:textId="77777777" w:rsidR="00F53AB2" w:rsidRPr="005D7C3D" w:rsidRDefault="00F53AB2" w:rsidP="003C3DAA">
            <w:pPr>
              <w:jc w:val="center"/>
              <w:rPr>
                <w:sz w:val="22"/>
                <w:szCs w:val="22"/>
              </w:rPr>
            </w:pPr>
            <w:r w:rsidRPr="005D7C3D">
              <w:rPr>
                <w:sz w:val="22"/>
                <w:szCs w:val="22"/>
              </w:rPr>
              <w:t>23/38</w:t>
            </w:r>
          </w:p>
        </w:tc>
        <w:tc>
          <w:tcPr>
            <w:tcW w:w="1468" w:type="dxa"/>
            <w:shd w:val="clear" w:color="auto" w:fill="auto"/>
            <w:noWrap/>
            <w:vAlign w:val="center"/>
          </w:tcPr>
          <w:p w14:paraId="163BE78D" w14:textId="77777777" w:rsidR="00F53AB2" w:rsidRPr="005D7C3D" w:rsidRDefault="00F53AB2" w:rsidP="003C3DAA">
            <w:pPr>
              <w:jc w:val="right"/>
              <w:rPr>
                <w:sz w:val="22"/>
                <w:szCs w:val="22"/>
              </w:rPr>
            </w:pPr>
            <w:r w:rsidRPr="005D7C3D">
              <w:rPr>
                <w:sz w:val="22"/>
                <w:szCs w:val="22"/>
              </w:rPr>
              <w:t>60,53%</w:t>
            </w:r>
          </w:p>
        </w:tc>
      </w:tr>
      <w:tr w:rsidR="00F53AB2" w:rsidRPr="006739B2" w14:paraId="22901E62" w14:textId="77777777" w:rsidTr="003C3DAA">
        <w:trPr>
          <w:trHeight w:val="290"/>
        </w:trPr>
        <w:tc>
          <w:tcPr>
            <w:tcW w:w="851" w:type="dxa"/>
            <w:shd w:val="clear" w:color="auto" w:fill="auto"/>
            <w:noWrap/>
          </w:tcPr>
          <w:p w14:paraId="05F28B61" w14:textId="77777777" w:rsidR="00F53AB2" w:rsidRPr="005D7C3D" w:rsidRDefault="00F53AB2" w:rsidP="003C3DAA">
            <w:pPr>
              <w:jc w:val="center"/>
              <w:rPr>
                <w:sz w:val="22"/>
                <w:szCs w:val="22"/>
              </w:rPr>
            </w:pPr>
            <w:r w:rsidRPr="005D7C3D">
              <w:rPr>
                <w:sz w:val="22"/>
                <w:szCs w:val="22"/>
              </w:rPr>
              <w:t>17.</w:t>
            </w:r>
          </w:p>
        </w:tc>
        <w:tc>
          <w:tcPr>
            <w:tcW w:w="6095" w:type="dxa"/>
            <w:shd w:val="clear" w:color="auto" w:fill="auto"/>
            <w:noWrap/>
            <w:vAlign w:val="center"/>
          </w:tcPr>
          <w:p w14:paraId="44D9CD79" w14:textId="77777777" w:rsidR="00F53AB2" w:rsidRPr="005D7C3D" w:rsidRDefault="00F53AB2" w:rsidP="003C3DAA">
            <w:pPr>
              <w:rPr>
                <w:sz w:val="22"/>
                <w:szCs w:val="22"/>
              </w:rPr>
            </w:pPr>
            <w:r w:rsidRPr="005D7C3D">
              <w:rPr>
                <w:sz w:val="22"/>
                <w:szCs w:val="22"/>
              </w:rPr>
              <w:t>Komisija za očuvanje nacionalnih spomenika BiH</w:t>
            </w:r>
          </w:p>
        </w:tc>
        <w:tc>
          <w:tcPr>
            <w:tcW w:w="1276" w:type="dxa"/>
            <w:shd w:val="clear" w:color="auto" w:fill="auto"/>
            <w:noWrap/>
            <w:vAlign w:val="center"/>
          </w:tcPr>
          <w:p w14:paraId="72AC6E80" w14:textId="77777777" w:rsidR="00F53AB2" w:rsidRPr="005D7C3D" w:rsidRDefault="00F53AB2" w:rsidP="003C3DAA">
            <w:pPr>
              <w:jc w:val="center"/>
              <w:rPr>
                <w:sz w:val="22"/>
                <w:szCs w:val="22"/>
              </w:rPr>
            </w:pPr>
            <w:r w:rsidRPr="005D7C3D">
              <w:rPr>
                <w:sz w:val="22"/>
                <w:szCs w:val="22"/>
              </w:rPr>
              <w:t>23/38</w:t>
            </w:r>
          </w:p>
        </w:tc>
        <w:tc>
          <w:tcPr>
            <w:tcW w:w="1468" w:type="dxa"/>
            <w:shd w:val="clear" w:color="auto" w:fill="auto"/>
            <w:noWrap/>
            <w:vAlign w:val="center"/>
          </w:tcPr>
          <w:p w14:paraId="5C1812A5" w14:textId="77777777" w:rsidR="00F53AB2" w:rsidRPr="005D7C3D" w:rsidRDefault="00F53AB2" w:rsidP="003C3DAA">
            <w:pPr>
              <w:jc w:val="right"/>
              <w:rPr>
                <w:sz w:val="22"/>
                <w:szCs w:val="22"/>
              </w:rPr>
            </w:pPr>
            <w:r w:rsidRPr="005D7C3D">
              <w:rPr>
                <w:sz w:val="22"/>
                <w:szCs w:val="22"/>
              </w:rPr>
              <w:t>60,53%</w:t>
            </w:r>
          </w:p>
        </w:tc>
      </w:tr>
      <w:tr w:rsidR="00F53AB2" w:rsidRPr="006739B2" w14:paraId="7BC87E69" w14:textId="77777777" w:rsidTr="003C3DAA">
        <w:trPr>
          <w:trHeight w:val="290"/>
        </w:trPr>
        <w:tc>
          <w:tcPr>
            <w:tcW w:w="851" w:type="dxa"/>
            <w:shd w:val="clear" w:color="auto" w:fill="auto"/>
            <w:noWrap/>
          </w:tcPr>
          <w:p w14:paraId="0DEA524C" w14:textId="77777777" w:rsidR="00F53AB2" w:rsidRPr="005D7C3D" w:rsidRDefault="00F53AB2" w:rsidP="003C3DAA">
            <w:pPr>
              <w:jc w:val="center"/>
              <w:rPr>
                <w:sz w:val="22"/>
                <w:szCs w:val="22"/>
              </w:rPr>
            </w:pPr>
            <w:r w:rsidRPr="005D7C3D">
              <w:rPr>
                <w:sz w:val="22"/>
                <w:szCs w:val="22"/>
              </w:rPr>
              <w:t>18.</w:t>
            </w:r>
          </w:p>
        </w:tc>
        <w:tc>
          <w:tcPr>
            <w:tcW w:w="6095" w:type="dxa"/>
            <w:shd w:val="clear" w:color="auto" w:fill="auto"/>
            <w:noWrap/>
            <w:vAlign w:val="center"/>
          </w:tcPr>
          <w:p w14:paraId="7163E607" w14:textId="77777777" w:rsidR="00F53AB2" w:rsidRPr="005D7C3D" w:rsidRDefault="00F53AB2" w:rsidP="003C3DAA">
            <w:pPr>
              <w:rPr>
                <w:sz w:val="22"/>
                <w:szCs w:val="22"/>
              </w:rPr>
            </w:pPr>
            <w:r w:rsidRPr="005D7C3D">
              <w:rPr>
                <w:sz w:val="22"/>
                <w:szCs w:val="22"/>
              </w:rPr>
              <w:t>Ministarstvo sigurnosti BiH</w:t>
            </w:r>
          </w:p>
        </w:tc>
        <w:tc>
          <w:tcPr>
            <w:tcW w:w="1276" w:type="dxa"/>
            <w:shd w:val="clear" w:color="auto" w:fill="auto"/>
            <w:noWrap/>
            <w:vAlign w:val="center"/>
          </w:tcPr>
          <w:p w14:paraId="207C9221" w14:textId="77777777" w:rsidR="00F53AB2" w:rsidRPr="005D7C3D" w:rsidRDefault="00F53AB2" w:rsidP="003C3DAA">
            <w:pPr>
              <w:jc w:val="center"/>
              <w:rPr>
                <w:sz w:val="22"/>
                <w:szCs w:val="22"/>
              </w:rPr>
            </w:pPr>
            <w:r w:rsidRPr="005D7C3D">
              <w:rPr>
                <w:sz w:val="22"/>
                <w:szCs w:val="22"/>
              </w:rPr>
              <w:t>23/38</w:t>
            </w:r>
          </w:p>
        </w:tc>
        <w:tc>
          <w:tcPr>
            <w:tcW w:w="1468" w:type="dxa"/>
            <w:shd w:val="clear" w:color="auto" w:fill="auto"/>
            <w:noWrap/>
            <w:vAlign w:val="center"/>
          </w:tcPr>
          <w:p w14:paraId="65FED1EE" w14:textId="77777777" w:rsidR="00F53AB2" w:rsidRPr="005D7C3D" w:rsidRDefault="00F53AB2" w:rsidP="003C3DAA">
            <w:pPr>
              <w:jc w:val="right"/>
              <w:rPr>
                <w:sz w:val="22"/>
                <w:szCs w:val="22"/>
              </w:rPr>
            </w:pPr>
            <w:r w:rsidRPr="005D7C3D">
              <w:rPr>
                <w:sz w:val="22"/>
                <w:szCs w:val="22"/>
              </w:rPr>
              <w:t>60,53%</w:t>
            </w:r>
          </w:p>
        </w:tc>
      </w:tr>
      <w:tr w:rsidR="00F53AB2" w:rsidRPr="006739B2" w14:paraId="39AB721F" w14:textId="77777777" w:rsidTr="003C3DAA">
        <w:trPr>
          <w:trHeight w:val="290"/>
        </w:trPr>
        <w:tc>
          <w:tcPr>
            <w:tcW w:w="851" w:type="dxa"/>
            <w:shd w:val="clear" w:color="auto" w:fill="auto"/>
            <w:noWrap/>
          </w:tcPr>
          <w:p w14:paraId="55A67203" w14:textId="77777777" w:rsidR="00F53AB2" w:rsidRPr="005D7C3D" w:rsidRDefault="00F53AB2" w:rsidP="003C3DAA">
            <w:pPr>
              <w:jc w:val="center"/>
              <w:rPr>
                <w:sz w:val="22"/>
                <w:szCs w:val="22"/>
              </w:rPr>
            </w:pPr>
            <w:r w:rsidRPr="005D7C3D">
              <w:rPr>
                <w:sz w:val="22"/>
                <w:szCs w:val="22"/>
              </w:rPr>
              <w:t>19.</w:t>
            </w:r>
          </w:p>
        </w:tc>
        <w:tc>
          <w:tcPr>
            <w:tcW w:w="6095" w:type="dxa"/>
            <w:shd w:val="clear" w:color="auto" w:fill="auto"/>
            <w:noWrap/>
            <w:vAlign w:val="center"/>
          </w:tcPr>
          <w:p w14:paraId="6D70BE45" w14:textId="77777777" w:rsidR="00F53AB2" w:rsidRPr="005D7C3D" w:rsidRDefault="00F53AB2" w:rsidP="003C3DAA">
            <w:pPr>
              <w:rPr>
                <w:sz w:val="22"/>
                <w:szCs w:val="22"/>
              </w:rPr>
            </w:pPr>
            <w:r w:rsidRPr="005D7C3D">
              <w:rPr>
                <w:sz w:val="22"/>
                <w:szCs w:val="22"/>
              </w:rPr>
              <w:t>Ured za razmatranje žalbi BiH</w:t>
            </w:r>
          </w:p>
        </w:tc>
        <w:tc>
          <w:tcPr>
            <w:tcW w:w="1276" w:type="dxa"/>
            <w:shd w:val="clear" w:color="auto" w:fill="auto"/>
            <w:noWrap/>
            <w:vAlign w:val="center"/>
          </w:tcPr>
          <w:p w14:paraId="19404D76" w14:textId="77777777" w:rsidR="00F53AB2" w:rsidRPr="005D7C3D" w:rsidRDefault="00F53AB2" w:rsidP="003C3DAA">
            <w:pPr>
              <w:jc w:val="center"/>
              <w:rPr>
                <w:sz w:val="22"/>
                <w:szCs w:val="22"/>
              </w:rPr>
            </w:pPr>
            <w:r w:rsidRPr="005D7C3D">
              <w:rPr>
                <w:sz w:val="22"/>
                <w:szCs w:val="22"/>
              </w:rPr>
              <w:t>23/38</w:t>
            </w:r>
          </w:p>
        </w:tc>
        <w:tc>
          <w:tcPr>
            <w:tcW w:w="1468" w:type="dxa"/>
            <w:shd w:val="clear" w:color="auto" w:fill="auto"/>
            <w:noWrap/>
            <w:vAlign w:val="center"/>
          </w:tcPr>
          <w:p w14:paraId="52E86D06" w14:textId="77777777" w:rsidR="00F53AB2" w:rsidRPr="005D7C3D" w:rsidRDefault="00F53AB2" w:rsidP="003C3DAA">
            <w:pPr>
              <w:jc w:val="right"/>
              <w:rPr>
                <w:sz w:val="22"/>
                <w:szCs w:val="22"/>
              </w:rPr>
            </w:pPr>
            <w:r w:rsidRPr="005D7C3D">
              <w:rPr>
                <w:sz w:val="22"/>
                <w:szCs w:val="22"/>
              </w:rPr>
              <w:t>60,53%</w:t>
            </w:r>
          </w:p>
        </w:tc>
      </w:tr>
      <w:tr w:rsidR="00F53AB2" w:rsidRPr="006739B2" w14:paraId="1C522440" w14:textId="77777777" w:rsidTr="003C3DAA">
        <w:trPr>
          <w:trHeight w:val="290"/>
        </w:trPr>
        <w:tc>
          <w:tcPr>
            <w:tcW w:w="851" w:type="dxa"/>
            <w:shd w:val="clear" w:color="auto" w:fill="auto"/>
            <w:noWrap/>
          </w:tcPr>
          <w:p w14:paraId="0145DB2B" w14:textId="77777777" w:rsidR="00F53AB2" w:rsidRPr="005D7C3D" w:rsidRDefault="00F53AB2" w:rsidP="003C3DAA">
            <w:pPr>
              <w:jc w:val="center"/>
              <w:rPr>
                <w:sz w:val="22"/>
                <w:szCs w:val="22"/>
              </w:rPr>
            </w:pPr>
            <w:r w:rsidRPr="005D7C3D">
              <w:rPr>
                <w:sz w:val="22"/>
                <w:szCs w:val="22"/>
              </w:rPr>
              <w:t>20.</w:t>
            </w:r>
          </w:p>
        </w:tc>
        <w:tc>
          <w:tcPr>
            <w:tcW w:w="6095" w:type="dxa"/>
            <w:shd w:val="clear" w:color="auto" w:fill="auto"/>
            <w:noWrap/>
            <w:vAlign w:val="center"/>
          </w:tcPr>
          <w:p w14:paraId="6FF5B42B" w14:textId="77777777" w:rsidR="00F53AB2" w:rsidRPr="005D7C3D" w:rsidRDefault="00F53AB2" w:rsidP="003C3DAA">
            <w:pPr>
              <w:rPr>
                <w:sz w:val="22"/>
                <w:szCs w:val="22"/>
              </w:rPr>
            </w:pPr>
            <w:r w:rsidRPr="005D7C3D">
              <w:rPr>
                <w:sz w:val="22"/>
                <w:szCs w:val="22"/>
              </w:rPr>
              <w:t>Agencija za sigurnost hrane BiH</w:t>
            </w:r>
          </w:p>
        </w:tc>
        <w:tc>
          <w:tcPr>
            <w:tcW w:w="1276" w:type="dxa"/>
            <w:shd w:val="clear" w:color="auto" w:fill="auto"/>
            <w:noWrap/>
            <w:vAlign w:val="center"/>
          </w:tcPr>
          <w:p w14:paraId="400DD4A0" w14:textId="77777777" w:rsidR="00F53AB2" w:rsidRPr="005D7C3D" w:rsidRDefault="00F53AB2" w:rsidP="003C3DAA">
            <w:pPr>
              <w:jc w:val="center"/>
              <w:rPr>
                <w:sz w:val="22"/>
                <w:szCs w:val="22"/>
              </w:rPr>
            </w:pPr>
            <w:r w:rsidRPr="005D7C3D">
              <w:rPr>
                <w:sz w:val="22"/>
                <w:szCs w:val="22"/>
              </w:rPr>
              <w:t>24/38</w:t>
            </w:r>
          </w:p>
        </w:tc>
        <w:tc>
          <w:tcPr>
            <w:tcW w:w="1468" w:type="dxa"/>
            <w:shd w:val="clear" w:color="auto" w:fill="auto"/>
            <w:noWrap/>
            <w:vAlign w:val="center"/>
          </w:tcPr>
          <w:p w14:paraId="6DA2DF01" w14:textId="77777777" w:rsidR="00F53AB2" w:rsidRPr="005D7C3D" w:rsidRDefault="00F53AB2" w:rsidP="003C3DAA">
            <w:pPr>
              <w:jc w:val="right"/>
              <w:rPr>
                <w:sz w:val="22"/>
                <w:szCs w:val="22"/>
              </w:rPr>
            </w:pPr>
            <w:r w:rsidRPr="005D7C3D">
              <w:rPr>
                <w:sz w:val="22"/>
                <w:szCs w:val="22"/>
              </w:rPr>
              <w:t>63,16%</w:t>
            </w:r>
          </w:p>
        </w:tc>
      </w:tr>
      <w:tr w:rsidR="00F53AB2" w:rsidRPr="006739B2" w14:paraId="69273DC1" w14:textId="77777777" w:rsidTr="003C3DAA">
        <w:trPr>
          <w:trHeight w:val="290"/>
        </w:trPr>
        <w:tc>
          <w:tcPr>
            <w:tcW w:w="851" w:type="dxa"/>
            <w:shd w:val="clear" w:color="auto" w:fill="auto"/>
            <w:noWrap/>
          </w:tcPr>
          <w:p w14:paraId="16455A88" w14:textId="77777777" w:rsidR="00F53AB2" w:rsidRPr="005D7C3D" w:rsidRDefault="00F53AB2" w:rsidP="003C3DAA">
            <w:pPr>
              <w:jc w:val="center"/>
              <w:rPr>
                <w:sz w:val="22"/>
                <w:szCs w:val="22"/>
              </w:rPr>
            </w:pPr>
            <w:r w:rsidRPr="005D7C3D">
              <w:rPr>
                <w:sz w:val="22"/>
                <w:szCs w:val="22"/>
              </w:rPr>
              <w:t>21.</w:t>
            </w:r>
          </w:p>
        </w:tc>
        <w:tc>
          <w:tcPr>
            <w:tcW w:w="6095" w:type="dxa"/>
            <w:shd w:val="clear" w:color="auto" w:fill="auto"/>
            <w:noWrap/>
            <w:vAlign w:val="center"/>
          </w:tcPr>
          <w:p w14:paraId="7DAEDE7B" w14:textId="77777777" w:rsidR="00F53AB2" w:rsidRPr="005D7C3D" w:rsidRDefault="00F53AB2" w:rsidP="003C3DAA">
            <w:pPr>
              <w:rPr>
                <w:sz w:val="22"/>
                <w:szCs w:val="22"/>
              </w:rPr>
            </w:pPr>
            <w:r w:rsidRPr="005D7C3D">
              <w:rPr>
                <w:sz w:val="22"/>
                <w:szCs w:val="22"/>
              </w:rPr>
              <w:t>Ministarstvo pravde BiH</w:t>
            </w:r>
          </w:p>
        </w:tc>
        <w:tc>
          <w:tcPr>
            <w:tcW w:w="1276" w:type="dxa"/>
            <w:shd w:val="clear" w:color="auto" w:fill="auto"/>
            <w:noWrap/>
            <w:vAlign w:val="center"/>
          </w:tcPr>
          <w:p w14:paraId="389A1509" w14:textId="77777777" w:rsidR="00F53AB2" w:rsidRPr="005D7C3D" w:rsidRDefault="00F53AB2" w:rsidP="003C3DAA">
            <w:pPr>
              <w:jc w:val="center"/>
              <w:rPr>
                <w:sz w:val="22"/>
                <w:szCs w:val="22"/>
              </w:rPr>
            </w:pPr>
            <w:r w:rsidRPr="005D7C3D">
              <w:rPr>
                <w:sz w:val="22"/>
                <w:szCs w:val="22"/>
              </w:rPr>
              <w:t>24/38</w:t>
            </w:r>
          </w:p>
        </w:tc>
        <w:tc>
          <w:tcPr>
            <w:tcW w:w="1468" w:type="dxa"/>
            <w:shd w:val="clear" w:color="auto" w:fill="auto"/>
            <w:noWrap/>
            <w:vAlign w:val="center"/>
          </w:tcPr>
          <w:p w14:paraId="0A25D9F5" w14:textId="77777777" w:rsidR="00F53AB2" w:rsidRPr="005D7C3D" w:rsidRDefault="00F53AB2" w:rsidP="003C3DAA">
            <w:pPr>
              <w:jc w:val="right"/>
              <w:rPr>
                <w:sz w:val="22"/>
                <w:szCs w:val="22"/>
              </w:rPr>
            </w:pPr>
            <w:r w:rsidRPr="005D7C3D">
              <w:rPr>
                <w:sz w:val="22"/>
                <w:szCs w:val="22"/>
              </w:rPr>
              <w:t>63,16%</w:t>
            </w:r>
          </w:p>
        </w:tc>
      </w:tr>
      <w:tr w:rsidR="00F53AB2" w:rsidRPr="006739B2" w14:paraId="68BA0B07" w14:textId="77777777" w:rsidTr="003C3DAA">
        <w:trPr>
          <w:trHeight w:val="290"/>
        </w:trPr>
        <w:tc>
          <w:tcPr>
            <w:tcW w:w="851" w:type="dxa"/>
            <w:shd w:val="clear" w:color="auto" w:fill="auto"/>
            <w:noWrap/>
          </w:tcPr>
          <w:p w14:paraId="21790655" w14:textId="77777777" w:rsidR="00F53AB2" w:rsidRPr="005D7C3D" w:rsidRDefault="00F53AB2" w:rsidP="003C3DAA">
            <w:pPr>
              <w:jc w:val="center"/>
              <w:rPr>
                <w:sz w:val="22"/>
                <w:szCs w:val="22"/>
              </w:rPr>
            </w:pPr>
            <w:r w:rsidRPr="005D7C3D">
              <w:rPr>
                <w:sz w:val="22"/>
                <w:szCs w:val="22"/>
              </w:rPr>
              <w:t>22.</w:t>
            </w:r>
          </w:p>
        </w:tc>
        <w:tc>
          <w:tcPr>
            <w:tcW w:w="6095" w:type="dxa"/>
            <w:shd w:val="clear" w:color="auto" w:fill="auto"/>
            <w:noWrap/>
            <w:vAlign w:val="center"/>
          </w:tcPr>
          <w:p w14:paraId="3AF4AFF7" w14:textId="77777777" w:rsidR="00F53AB2" w:rsidRPr="005D7C3D" w:rsidRDefault="00F53AB2" w:rsidP="003C3DAA">
            <w:pPr>
              <w:rPr>
                <w:sz w:val="22"/>
                <w:szCs w:val="22"/>
              </w:rPr>
            </w:pPr>
            <w:r w:rsidRPr="005D7C3D">
              <w:rPr>
                <w:sz w:val="22"/>
                <w:szCs w:val="22"/>
              </w:rPr>
              <w:t>Agencija za antidoping kontrolu BiH</w:t>
            </w:r>
          </w:p>
        </w:tc>
        <w:tc>
          <w:tcPr>
            <w:tcW w:w="1276" w:type="dxa"/>
            <w:shd w:val="clear" w:color="auto" w:fill="auto"/>
            <w:noWrap/>
            <w:vAlign w:val="center"/>
          </w:tcPr>
          <w:p w14:paraId="580F5C56" w14:textId="77777777" w:rsidR="00F53AB2" w:rsidRPr="005D7C3D" w:rsidRDefault="00F53AB2" w:rsidP="003C3DAA">
            <w:pPr>
              <w:jc w:val="center"/>
              <w:rPr>
                <w:sz w:val="22"/>
                <w:szCs w:val="22"/>
              </w:rPr>
            </w:pPr>
            <w:r w:rsidRPr="005D7C3D">
              <w:rPr>
                <w:sz w:val="22"/>
                <w:szCs w:val="22"/>
              </w:rPr>
              <w:t>25/38</w:t>
            </w:r>
          </w:p>
        </w:tc>
        <w:tc>
          <w:tcPr>
            <w:tcW w:w="1468" w:type="dxa"/>
            <w:shd w:val="clear" w:color="auto" w:fill="auto"/>
            <w:noWrap/>
            <w:vAlign w:val="center"/>
          </w:tcPr>
          <w:p w14:paraId="605645A1" w14:textId="77777777" w:rsidR="00F53AB2" w:rsidRPr="005D7C3D" w:rsidRDefault="00F53AB2" w:rsidP="003C3DAA">
            <w:pPr>
              <w:jc w:val="right"/>
              <w:rPr>
                <w:sz w:val="22"/>
                <w:szCs w:val="22"/>
              </w:rPr>
            </w:pPr>
            <w:r w:rsidRPr="005D7C3D">
              <w:rPr>
                <w:sz w:val="22"/>
                <w:szCs w:val="22"/>
              </w:rPr>
              <w:t>65,79%</w:t>
            </w:r>
          </w:p>
        </w:tc>
      </w:tr>
      <w:tr w:rsidR="00F53AB2" w:rsidRPr="006739B2" w14:paraId="57691638" w14:textId="77777777" w:rsidTr="003C3DAA">
        <w:trPr>
          <w:trHeight w:val="290"/>
        </w:trPr>
        <w:tc>
          <w:tcPr>
            <w:tcW w:w="851" w:type="dxa"/>
            <w:shd w:val="clear" w:color="auto" w:fill="auto"/>
            <w:noWrap/>
          </w:tcPr>
          <w:p w14:paraId="4445E7B4" w14:textId="77777777" w:rsidR="00F53AB2" w:rsidRPr="005D7C3D" w:rsidRDefault="00F53AB2" w:rsidP="003C3DAA">
            <w:pPr>
              <w:jc w:val="center"/>
              <w:rPr>
                <w:sz w:val="22"/>
                <w:szCs w:val="22"/>
              </w:rPr>
            </w:pPr>
            <w:r w:rsidRPr="005D7C3D">
              <w:rPr>
                <w:sz w:val="22"/>
                <w:szCs w:val="22"/>
              </w:rPr>
              <w:t>23.</w:t>
            </w:r>
          </w:p>
        </w:tc>
        <w:tc>
          <w:tcPr>
            <w:tcW w:w="6095" w:type="dxa"/>
            <w:shd w:val="clear" w:color="auto" w:fill="auto"/>
            <w:noWrap/>
            <w:vAlign w:val="center"/>
          </w:tcPr>
          <w:p w14:paraId="48D6CE44" w14:textId="77777777" w:rsidR="00F53AB2" w:rsidRPr="005D7C3D" w:rsidRDefault="00F53AB2" w:rsidP="003C3DAA">
            <w:pPr>
              <w:rPr>
                <w:sz w:val="22"/>
                <w:szCs w:val="22"/>
              </w:rPr>
            </w:pPr>
            <w:r w:rsidRPr="005D7C3D">
              <w:rPr>
                <w:sz w:val="22"/>
                <w:szCs w:val="22"/>
              </w:rPr>
              <w:t>Komisija za koncesije BiH</w:t>
            </w:r>
          </w:p>
        </w:tc>
        <w:tc>
          <w:tcPr>
            <w:tcW w:w="1276" w:type="dxa"/>
            <w:shd w:val="clear" w:color="auto" w:fill="auto"/>
            <w:noWrap/>
            <w:vAlign w:val="center"/>
          </w:tcPr>
          <w:p w14:paraId="73B3D36D" w14:textId="77777777" w:rsidR="00F53AB2" w:rsidRPr="005D7C3D" w:rsidRDefault="00F53AB2" w:rsidP="003C3DAA">
            <w:pPr>
              <w:jc w:val="center"/>
              <w:rPr>
                <w:sz w:val="22"/>
                <w:szCs w:val="22"/>
              </w:rPr>
            </w:pPr>
            <w:r w:rsidRPr="005D7C3D">
              <w:rPr>
                <w:sz w:val="22"/>
                <w:szCs w:val="22"/>
              </w:rPr>
              <w:t>25/38</w:t>
            </w:r>
          </w:p>
        </w:tc>
        <w:tc>
          <w:tcPr>
            <w:tcW w:w="1468" w:type="dxa"/>
            <w:shd w:val="clear" w:color="auto" w:fill="auto"/>
            <w:noWrap/>
            <w:vAlign w:val="center"/>
          </w:tcPr>
          <w:p w14:paraId="54C2FCCD" w14:textId="77777777" w:rsidR="00F53AB2" w:rsidRPr="005D7C3D" w:rsidRDefault="00F53AB2" w:rsidP="003C3DAA">
            <w:pPr>
              <w:jc w:val="right"/>
              <w:rPr>
                <w:sz w:val="22"/>
                <w:szCs w:val="22"/>
              </w:rPr>
            </w:pPr>
            <w:r w:rsidRPr="005D7C3D">
              <w:rPr>
                <w:sz w:val="22"/>
                <w:szCs w:val="22"/>
              </w:rPr>
              <w:t>65,79%</w:t>
            </w:r>
          </w:p>
        </w:tc>
      </w:tr>
      <w:tr w:rsidR="00F53AB2" w:rsidRPr="006739B2" w14:paraId="4971F510" w14:textId="77777777" w:rsidTr="003C3DAA">
        <w:trPr>
          <w:trHeight w:val="290"/>
        </w:trPr>
        <w:tc>
          <w:tcPr>
            <w:tcW w:w="851" w:type="dxa"/>
            <w:shd w:val="clear" w:color="auto" w:fill="auto"/>
            <w:noWrap/>
          </w:tcPr>
          <w:p w14:paraId="758642B3" w14:textId="77777777" w:rsidR="00F53AB2" w:rsidRPr="005D7C3D" w:rsidRDefault="00F53AB2" w:rsidP="003C3DAA">
            <w:pPr>
              <w:jc w:val="center"/>
              <w:rPr>
                <w:sz w:val="22"/>
                <w:szCs w:val="22"/>
              </w:rPr>
            </w:pPr>
            <w:r w:rsidRPr="005D7C3D">
              <w:rPr>
                <w:sz w:val="22"/>
                <w:szCs w:val="22"/>
              </w:rPr>
              <w:t>24.</w:t>
            </w:r>
          </w:p>
        </w:tc>
        <w:tc>
          <w:tcPr>
            <w:tcW w:w="6095" w:type="dxa"/>
            <w:shd w:val="clear" w:color="auto" w:fill="auto"/>
            <w:noWrap/>
            <w:vAlign w:val="center"/>
          </w:tcPr>
          <w:p w14:paraId="3AB9BD7F" w14:textId="77777777" w:rsidR="00F53AB2" w:rsidRPr="005D7C3D" w:rsidRDefault="00F53AB2" w:rsidP="003C3DAA">
            <w:pPr>
              <w:rPr>
                <w:sz w:val="22"/>
                <w:szCs w:val="22"/>
              </w:rPr>
            </w:pPr>
            <w:r w:rsidRPr="005D7C3D">
              <w:rPr>
                <w:sz w:val="22"/>
                <w:szCs w:val="22"/>
              </w:rPr>
              <w:t>Konkurencijsko vijeće BiH</w:t>
            </w:r>
          </w:p>
        </w:tc>
        <w:tc>
          <w:tcPr>
            <w:tcW w:w="1276" w:type="dxa"/>
            <w:shd w:val="clear" w:color="auto" w:fill="auto"/>
            <w:noWrap/>
            <w:vAlign w:val="center"/>
          </w:tcPr>
          <w:p w14:paraId="02A77D58" w14:textId="77777777" w:rsidR="00F53AB2" w:rsidRPr="005D7C3D" w:rsidRDefault="00F53AB2" w:rsidP="003C3DAA">
            <w:pPr>
              <w:jc w:val="center"/>
              <w:rPr>
                <w:sz w:val="22"/>
                <w:szCs w:val="22"/>
              </w:rPr>
            </w:pPr>
            <w:r w:rsidRPr="005D7C3D">
              <w:rPr>
                <w:sz w:val="22"/>
                <w:szCs w:val="22"/>
              </w:rPr>
              <w:t>25/38</w:t>
            </w:r>
          </w:p>
        </w:tc>
        <w:tc>
          <w:tcPr>
            <w:tcW w:w="1468" w:type="dxa"/>
            <w:shd w:val="clear" w:color="auto" w:fill="auto"/>
            <w:noWrap/>
            <w:vAlign w:val="center"/>
          </w:tcPr>
          <w:p w14:paraId="6E804207" w14:textId="77777777" w:rsidR="00F53AB2" w:rsidRPr="005D7C3D" w:rsidRDefault="00F53AB2" w:rsidP="003C3DAA">
            <w:pPr>
              <w:jc w:val="right"/>
              <w:rPr>
                <w:sz w:val="22"/>
                <w:szCs w:val="22"/>
              </w:rPr>
            </w:pPr>
            <w:r w:rsidRPr="005D7C3D">
              <w:rPr>
                <w:sz w:val="22"/>
                <w:szCs w:val="22"/>
              </w:rPr>
              <w:t>65,79%</w:t>
            </w:r>
          </w:p>
        </w:tc>
      </w:tr>
      <w:tr w:rsidR="00F53AB2" w:rsidRPr="006739B2" w14:paraId="624F1030" w14:textId="77777777" w:rsidTr="003C3DAA">
        <w:trPr>
          <w:trHeight w:val="290"/>
        </w:trPr>
        <w:tc>
          <w:tcPr>
            <w:tcW w:w="851" w:type="dxa"/>
            <w:shd w:val="clear" w:color="auto" w:fill="auto"/>
            <w:noWrap/>
          </w:tcPr>
          <w:p w14:paraId="33D35495" w14:textId="77777777" w:rsidR="00F53AB2" w:rsidRPr="005D7C3D" w:rsidRDefault="00F53AB2" w:rsidP="003C3DAA">
            <w:pPr>
              <w:jc w:val="center"/>
              <w:rPr>
                <w:sz w:val="22"/>
                <w:szCs w:val="22"/>
              </w:rPr>
            </w:pPr>
            <w:r w:rsidRPr="005D7C3D">
              <w:rPr>
                <w:sz w:val="22"/>
                <w:szCs w:val="22"/>
              </w:rPr>
              <w:t>25.</w:t>
            </w:r>
          </w:p>
        </w:tc>
        <w:tc>
          <w:tcPr>
            <w:tcW w:w="6095" w:type="dxa"/>
            <w:shd w:val="clear" w:color="auto" w:fill="auto"/>
            <w:noWrap/>
            <w:vAlign w:val="center"/>
          </w:tcPr>
          <w:p w14:paraId="4D60B5F0" w14:textId="77777777" w:rsidR="00F53AB2" w:rsidRPr="005D7C3D" w:rsidRDefault="00F53AB2" w:rsidP="003C3DAA">
            <w:pPr>
              <w:rPr>
                <w:sz w:val="22"/>
                <w:szCs w:val="22"/>
              </w:rPr>
            </w:pPr>
            <w:r w:rsidRPr="005D7C3D">
              <w:rPr>
                <w:sz w:val="22"/>
                <w:szCs w:val="22"/>
              </w:rPr>
              <w:t>Visoko sudsko i tužilačko vijeće BiH</w:t>
            </w:r>
          </w:p>
        </w:tc>
        <w:tc>
          <w:tcPr>
            <w:tcW w:w="1276" w:type="dxa"/>
            <w:shd w:val="clear" w:color="auto" w:fill="auto"/>
            <w:noWrap/>
            <w:vAlign w:val="center"/>
          </w:tcPr>
          <w:p w14:paraId="1230A1EA" w14:textId="77777777" w:rsidR="00F53AB2" w:rsidRPr="005D7C3D" w:rsidRDefault="00F53AB2" w:rsidP="003C3DAA">
            <w:pPr>
              <w:jc w:val="center"/>
              <w:rPr>
                <w:sz w:val="22"/>
                <w:szCs w:val="22"/>
              </w:rPr>
            </w:pPr>
            <w:r w:rsidRPr="005D7C3D">
              <w:rPr>
                <w:sz w:val="22"/>
                <w:szCs w:val="22"/>
              </w:rPr>
              <w:t>25/38</w:t>
            </w:r>
          </w:p>
        </w:tc>
        <w:tc>
          <w:tcPr>
            <w:tcW w:w="1468" w:type="dxa"/>
            <w:shd w:val="clear" w:color="auto" w:fill="auto"/>
            <w:noWrap/>
            <w:vAlign w:val="center"/>
          </w:tcPr>
          <w:p w14:paraId="6EC04CCC" w14:textId="77777777" w:rsidR="00F53AB2" w:rsidRPr="005D7C3D" w:rsidRDefault="00F53AB2" w:rsidP="003C3DAA">
            <w:pPr>
              <w:jc w:val="right"/>
              <w:rPr>
                <w:sz w:val="22"/>
                <w:szCs w:val="22"/>
              </w:rPr>
            </w:pPr>
            <w:r w:rsidRPr="005D7C3D">
              <w:rPr>
                <w:sz w:val="22"/>
                <w:szCs w:val="22"/>
              </w:rPr>
              <w:t>65,79%</w:t>
            </w:r>
          </w:p>
        </w:tc>
      </w:tr>
      <w:tr w:rsidR="00F53AB2" w:rsidRPr="006739B2" w14:paraId="271B3BEB" w14:textId="77777777" w:rsidTr="003C3DAA">
        <w:trPr>
          <w:trHeight w:val="290"/>
        </w:trPr>
        <w:tc>
          <w:tcPr>
            <w:tcW w:w="851" w:type="dxa"/>
            <w:shd w:val="clear" w:color="auto" w:fill="auto"/>
            <w:noWrap/>
          </w:tcPr>
          <w:p w14:paraId="0E2CF8CD" w14:textId="77777777" w:rsidR="00F53AB2" w:rsidRPr="005D7C3D" w:rsidRDefault="00F53AB2" w:rsidP="003C3DAA">
            <w:pPr>
              <w:jc w:val="center"/>
              <w:rPr>
                <w:sz w:val="22"/>
                <w:szCs w:val="22"/>
              </w:rPr>
            </w:pPr>
            <w:r w:rsidRPr="005D7C3D">
              <w:rPr>
                <w:sz w:val="22"/>
                <w:szCs w:val="22"/>
              </w:rPr>
              <w:t>26.</w:t>
            </w:r>
          </w:p>
        </w:tc>
        <w:tc>
          <w:tcPr>
            <w:tcW w:w="6095" w:type="dxa"/>
            <w:shd w:val="clear" w:color="auto" w:fill="auto"/>
            <w:noWrap/>
            <w:vAlign w:val="center"/>
          </w:tcPr>
          <w:p w14:paraId="6E519182" w14:textId="77777777" w:rsidR="00F53AB2" w:rsidRPr="005D7C3D" w:rsidRDefault="00F53AB2" w:rsidP="003C3DAA">
            <w:pPr>
              <w:rPr>
                <w:sz w:val="22"/>
                <w:szCs w:val="22"/>
              </w:rPr>
            </w:pPr>
            <w:r w:rsidRPr="005D7C3D">
              <w:rPr>
                <w:sz w:val="22"/>
                <w:szCs w:val="22"/>
              </w:rPr>
              <w:t>Agencija za unaprjeđenje stranih investicija u BiH</w:t>
            </w:r>
          </w:p>
        </w:tc>
        <w:tc>
          <w:tcPr>
            <w:tcW w:w="1276" w:type="dxa"/>
            <w:shd w:val="clear" w:color="auto" w:fill="auto"/>
            <w:noWrap/>
            <w:vAlign w:val="center"/>
          </w:tcPr>
          <w:p w14:paraId="4A481B8A" w14:textId="77777777" w:rsidR="00F53AB2" w:rsidRPr="005D7C3D" w:rsidRDefault="00F53AB2" w:rsidP="003C3DAA">
            <w:pPr>
              <w:jc w:val="center"/>
              <w:rPr>
                <w:sz w:val="22"/>
                <w:szCs w:val="22"/>
              </w:rPr>
            </w:pPr>
            <w:r w:rsidRPr="005D7C3D">
              <w:rPr>
                <w:sz w:val="22"/>
                <w:szCs w:val="22"/>
              </w:rPr>
              <w:t>26/38</w:t>
            </w:r>
          </w:p>
        </w:tc>
        <w:tc>
          <w:tcPr>
            <w:tcW w:w="1468" w:type="dxa"/>
            <w:shd w:val="clear" w:color="auto" w:fill="auto"/>
            <w:noWrap/>
            <w:vAlign w:val="center"/>
          </w:tcPr>
          <w:p w14:paraId="4B556BF4" w14:textId="77777777" w:rsidR="00F53AB2" w:rsidRPr="005D7C3D" w:rsidRDefault="00F53AB2" w:rsidP="003C3DAA">
            <w:pPr>
              <w:jc w:val="right"/>
              <w:rPr>
                <w:sz w:val="22"/>
                <w:szCs w:val="22"/>
              </w:rPr>
            </w:pPr>
            <w:r w:rsidRPr="005D7C3D">
              <w:rPr>
                <w:sz w:val="22"/>
                <w:szCs w:val="22"/>
              </w:rPr>
              <w:t>68,42%</w:t>
            </w:r>
          </w:p>
        </w:tc>
      </w:tr>
      <w:tr w:rsidR="00F53AB2" w:rsidRPr="006739B2" w14:paraId="17E4E1AF" w14:textId="77777777" w:rsidTr="003C3DAA">
        <w:trPr>
          <w:trHeight w:val="290"/>
        </w:trPr>
        <w:tc>
          <w:tcPr>
            <w:tcW w:w="851" w:type="dxa"/>
            <w:shd w:val="clear" w:color="auto" w:fill="auto"/>
            <w:noWrap/>
          </w:tcPr>
          <w:p w14:paraId="5AD67CC3" w14:textId="77777777" w:rsidR="00F53AB2" w:rsidRPr="005D7C3D" w:rsidRDefault="00F53AB2" w:rsidP="003C3DAA">
            <w:pPr>
              <w:jc w:val="center"/>
              <w:rPr>
                <w:sz w:val="22"/>
                <w:szCs w:val="22"/>
              </w:rPr>
            </w:pPr>
            <w:r w:rsidRPr="005D7C3D">
              <w:rPr>
                <w:sz w:val="22"/>
                <w:szCs w:val="22"/>
              </w:rPr>
              <w:t>27.</w:t>
            </w:r>
          </w:p>
        </w:tc>
        <w:tc>
          <w:tcPr>
            <w:tcW w:w="6095" w:type="dxa"/>
            <w:shd w:val="clear" w:color="auto" w:fill="auto"/>
            <w:noWrap/>
            <w:vAlign w:val="center"/>
          </w:tcPr>
          <w:p w14:paraId="717D2F3C" w14:textId="77777777" w:rsidR="00F53AB2" w:rsidRPr="005D7C3D" w:rsidRDefault="00F53AB2" w:rsidP="003C3DAA">
            <w:pPr>
              <w:rPr>
                <w:sz w:val="22"/>
                <w:szCs w:val="22"/>
              </w:rPr>
            </w:pPr>
            <w:r w:rsidRPr="005D7C3D">
              <w:rPr>
                <w:sz w:val="22"/>
                <w:szCs w:val="22"/>
              </w:rPr>
              <w:t>Tužilaštvo BiH</w:t>
            </w:r>
          </w:p>
        </w:tc>
        <w:tc>
          <w:tcPr>
            <w:tcW w:w="1276" w:type="dxa"/>
            <w:shd w:val="clear" w:color="auto" w:fill="auto"/>
            <w:noWrap/>
            <w:vAlign w:val="center"/>
          </w:tcPr>
          <w:p w14:paraId="6A8A0E4D" w14:textId="77777777" w:rsidR="00F53AB2" w:rsidRPr="005D7C3D" w:rsidRDefault="00F53AB2" w:rsidP="003C3DAA">
            <w:pPr>
              <w:jc w:val="center"/>
              <w:rPr>
                <w:sz w:val="22"/>
                <w:szCs w:val="22"/>
              </w:rPr>
            </w:pPr>
            <w:r w:rsidRPr="005D7C3D">
              <w:rPr>
                <w:sz w:val="22"/>
                <w:szCs w:val="22"/>
              </w:rPr>
              <w:t>26/38</w:t>
            </w:r>
          </w:p>
        </w:tc>
        <w:tc>
          <w:tcPr>
            <w:tcW w:w="1468" w:type="dxa"/>
            <w:shd w:val="clear" w:color="auto" w:fill="auto"/>
            <w:noWrap/>
            <w:vAlign w:val="center"/>
          </w:tcPr>
          <w:p w14:paraId="4D538367" w14:textId="77777777" w:rsidR="00F53AB2" w:rsidRPr="005D7C3D" w:rsidRDefault="00F53AB2" w:rsidP="003C3DAA">
            <w:pPr>
              <w:jc w:val="right"/>
              <w:rPr>
                <w:sz w:val="22"/>
                <w:szCs w:val="22"/>
              </w:rPr>
            </w:pPr>
            <w:r w:rsidRPr="005D7C3D">
              <w:rPr>
                <w:sz w:val="22"/>
                <w:szCs w:val="22"/>
              </w:rPr>
              <w:t>68,42%</w:t>
            </w:r>
          </w:p>
        </w:tc>
      </w:tr>
      <w:tr w:rsidR="00F53AB2" w:rsidRPr="006739B2" w14:paraId="1F630155" w14:textId="77777777" w:rsidTr="003C3DAA">
        <w:trPr>
          <w:trHeight w:val="290"/>
        </w:trPr>
        <w:tc>
          <w:tcPr>
            <w:tcW w:w="851" w:type="dxa"/>
            <w:shd w:val="clear" w:color="auto" w:fill="auto"/>
            <w:noWrap/>
          </w:tcPr>
          <w:p w14:paraId="42B2B331" w14:textId="77777777" w:rsidR="00F53AB2" w:rsidRPr="005D7C3D" w:rsidRDefault="00F53AB2" w:rsidP="003C3DAA">
            <w:pPr>
              <w:jc w:val="center"/>
              <w:rPr>
                <w:sz w:val="22"/>
                <w:szCs w:val="22"/>
              </w:rPr>
            </w:pPr>
            <w:r w:rsidRPr="005D7C3D">
              <w:rPr>
                <w:sz w:val="22"/>
                <w:szCs w:val="22"/>
              </w:rPr>
              <w:t>28.</w:t>
            </w:r>
          </w:p>
        </w:tc>
        <w:tc>
          <w:tcPr>
            <w:tcW w:w="6095" w:type="dxa"/>
            <w:shd w:val="clear" w:color="auto" w:fill="auto"/>
            <w:noWrap/>
            <w:vAlign w:val="center"/>
          </w:tcPr>
          <w:p w14:paraId="5C91369E" w14:textId="77777777" w:rsidR="00F53AB2" w:rsidRPr="005D7C3D" w:rsidRDefault="00F53AB2" w:rsidP="003C3DAA">
            <w:pPr>
              <w:rPr>
                <w:sz w:val="22"/>
                <w:szCs w:val="22"/>
              </w:rPr>
            </w:pPr>
            <w:r w:rsidRPr="005D7C3D">
              <w:rPr>
                <w:sz w:val="22"/>
                <w:szCs w:val="22"/>
              </w:rPr>
              <w:t>Ured za harmonizaciju i koordinaciju sistema plaćanja u poljoprivredi, ishrani i ruralnom razvoju BiH</w:t>
            </w:r>
          </w:p>
        </w:tc>
        <w:tc>
          <w:tcPr>
            <w:tcW w:w="1276" w:type="dxa"/>
            <w:shd w:val="clear" w:color="auto" w:fill="auto"/>
            <w:noWrap/>
            <w:vAlign w:val="center"/>
          </w:tcPr>
          <w:p w14:paraId="49E920BE" w14:textId="77777777" w:rsidR="00F53AB2" w:rsidRPr="005D7C3D" w:rsidRDefault="00F53AB2" w:rsidP="003C3DAA">
            <w:pPr>
              <w:jc w:val="center"/>
              <w:rPr>
                <w:sz w:val="22"/>
                <w:szCs w:val="22"/>
              </w:rPr>
            </w:pPr>
            <w:r w:rsidRPr="005D7C3D">
              <w:rPr>
                <w:sz w:val="22"/>
                <w:szCs w:val="22"/>
              </w:rPr>
              <w:t>26/38</w:t>
            </w:r>
          </w:p>
        </w:tc>
        <w:tc>
          <w:tcPr>
            <w:tcW w:w="1468" w:type="dxa"/>
            <w:shd w:val="clear" w:color="auto" w:fill="auto"/>
            <w:noWrap/>
            <w:vAlign w:val="center"/>
          </w:tcPr>
          <w:p w14:paraId="0F99EE98" w14:textId="77777777" w:rsidR="00F53AB2" w:rsidRPr="005D7C3D" w:rsidRDefault="00F53AB2" w:rsidP="003C3DAA">
            <w:pPr>
              <w:jc w:val="right"/>
              <w:rPr>
                <w:sz w:val="22"/>
                <w:szCs w:val="22"/>
              </w:rPr>
            </w:pPr>
            <w:r w:rsidRPr="005D7C3D">
              <w:rPr>
                <w:sz w:val="22"/>
                <w:szCs w:val="22"/>
              </w:rPr>
              <w:t>68,42%</w:t>
            </w:r>
          </w:p>
        </w:tc>
      </w:tr>
      <w:tr w:rsidR="00F53AB2" w:rsidRPr="006739B2" w14:paraId="28618706" w14:textId="77777777" w:rsidTr="003C3DAA">
        <w:trPr>
          <w:trHeight w:val="290"/>
        </w:trPr>
        <w:tc>
          <w:tcPr>
            <w:tcW w:w="851" w:type="dxa"/>
            <w:shd w:val="clear" w:color="auto" w:fill="auto"/>
            <w:noWrap/>
          </w:tcPr>
          <w:p w14:paraId="3436D1A0" w14:textId="77777777" w:rsidR="00F53AB2" w:rsidRPr="005D7C3D" w:rsidRDefault="00F53AB2" w:rsidP="003C3DAA">
            <w:pPr>
              <w:jc w:val="center"/>
              <w:rPr>
                <w:sz w:val="22"/>
                <w:szCs w:val="22"/>
              </w:rPr>
            </w:pPr>
            <w:r w:rsidRPr="005D7C3D">
              <w:rPr>
                <w:sz w:val="22"/>
                <w:szCs w:val="22"/>
              </w:rPr>
              <w:t>29.</w:t>
            </w:r>
          </w:p>
        </w:tc>
        <w:tc>
          <w:tcPr>
            <w:tcW w:w="6095" w:type="dxa"/>
            <w:shd w:val="clear" w:color="auto" w:fill="auto"/>
            <w:noWrap/>
            <w:vAlign w:val="center"/>
          </w:tcPr>
          <w:p w14:paraId="3614C65C" w14:textId="77777777" w:rsidR="00F53AB2" w:rsidRPr="005D7C3D" w:rsidRDefault="00F53AB2" w:rsidP="003C3DAA">
            <w:pPr>
              <w:rPr>
                <w:sz w:val="22"/>
                <w:szCs w:val="22"/>
              </w:rPr>
            </w:pPr>
            <w:r w:rsidRPr="005D7C3D">
              <w:rPr>
                <w:sz w:val="22"/>
                <w:szCs w:val="22"/>
              </w:rPr>
              <w:t>Agencija za poštanski promet BiH</w:t>
            </w:r>
          </w:p>
        </w:tc>
        <w:tc>
          <w:tcPr>
            <w:tcW w:w="1276" w:type="dxa"/>
            <w:shd w:val="clear" w:color="auto" w:fill="auto"/>
            <w:noWrap/>
            <w:vAlign w:val="center"/>
          </w:tcPr>
          <w:p w14:paraId="560A8C17" w14:textId="77777777" w:rsidR="00F53AB2" w:rsidRPr="005D7C3D" w:rsidRDefault="00F53AB2" w:rsidP="003C3DAA">
            <w:pPr>
              <w:jc w:val="center"/>
              <w:rPr>
                <w:sz w:val="22"/>
                <w:szCs w:val="22"/>
              </w:rPr>
            </w:pPr>
            <w:r w:rsidRPr="005D7C3D">
              <w:rPr>
                <w:sz w:val="22"/>
                <w:szCs w:val="22"/>
              </w:rPr>
              <w:t>27/38</w:t>
            </w:r>
          </w:p>
        </w:tc>
        <w:tc>
          <w:tcPr>
            <w:tcW w:w="1468" w:type="dxa"/>
            <w:shd w:val="clear" w:color="auto" w:fill="auto"/>
            <w:noWrap/>
            <w:vAlign w:val="center"/>
          </w:tcPr>
          <w:p w14:paraId="6DAD31EF" w14:textId="77777777" w:rsidR="00F53AB2" w:rsidRPr="005D7C3D" w:rsidRDefault="00F53AB2" w:rsidP="003C3DAA">
            <w:pPr>
              <w:jc w:val="right"/>
              <w:rPr>
                <w:sz w:val="22"/>
                <w:szCs w:val="22"/>
              </w:rPr>
            </w:pPr>
            <w:r w:rsidRPr="005D7C3D">
              <w:rPr>
                <w:sz w:val="22"/>
                <w:szCs w:val="22"/>
              </w:rPr>
              <w:t>71,05%</w:t>
            </w:r>
          </w:p>
        </w:tc>
      </w:tr>
      <w:tr w:rsidR="00F53AB2" w:rsidRPr="006739B2" w14:paraId="4CE82936" w14:textId="77777777" w:rsidTr="003C3DAA">
        <w:trPr>
          <w:trHeight w:val="290"/>
        </w:trPr>
        <w:tc>
          <w:tcPr>
            <w:tcW w:w="851" w:type="dxa"/>
            <w:shd w:val="clear" w:color="auto" w:fill="auto"/>
            <w:noWrap/>
          </w:tcPr>
          <w:p w14:paraId="4085CBEB" w14:textId="77777777" w:rsidR="00F53AB2" w:rsidRPr="005D7C3D" w:rsidRDefault="00F53AB2" w:rsidP="003C3DAA">
            <w:pPr>
              <w:jc w:val="center"/>
              <w:rPr>
                <w:sz w:val="22"/>
                <w:szCs w:val="22"/>
              </w:rPr>
            </w:pPr>
            <w:r w:rsidRPr="005D7C3D">
              <w:rPr>
                <w:sz w:val="22"/>
                <w:szCs w:val="22"/>
              </w:rPr>
              <w:t>30.</w:t>
            </w:r>
          </w:p>
        </w:tc>
        <w:tc>
          <w:tcPr>
            <w:tcW w:w="6095" w:type="dxa"/>
            <w:shd w:val="clear" w:color="auto" w:fill="auto"/>
            <w:noWrap/>
            <w:vAlign w:val="center"/>
          </w:tcPr>
          <w:p w14:paraId="67ECCEEF" w14:textId="77777777" w:rsidR="00F53AB2" w:rsidRPr="005D7C3D" w:rsidRDefault="00F53AB2" w:rsidP="003C3DAA">
            <w:pPr>
              <w:rPr>
                <w:sz w:val="22"/>
                <w:szCs w:val="22"/>
              </w:rPr>
            </w:pPr>
            <w:r w:rsidRPr="005D7C3D">
              <w:rPr>
                <w:sz w:val="22"/>
                <w:szCs w:val="22"/>
              </w:rPr>
              <w:t>Arhiv BiH</w:t>
            </w:r>
          </w:p>
        </w:tc>
        <w:tc>
          <w:tcPr>
            <w:tcW w:w="1276" w:type="dxa"/>
            <w:shd w:val="clear" w:color="auto" w:fill="auto"/>
            <w:noWrap/>
            <w:vAlign w:val="center"/>
          </w:tcPr>
          <w:p w14:paraId="02CB9B7E" w14:textId="77777777" w:rsidR="00F53AB2" w:rsidRPr="005D7C3D" w:rsidRDefault="00F53AB2" w:rsidP="003C3DAA">
            <w:pPr>
              <w:jc w:val="center"/>
              <w:rPr>
                <w:sz w:val="22"/>
                <w:szCs w:val="22"/>
              </w:rPr>
            </w:pPr>
            <w:r w:rsidRPr="005D7C3D">
              <w:rPr>
                <w:sz w:val="22"/>
                <w:szCs w:val="22"/>
              </w:rPr>
              <w:t>27/38</w:t>
            </w:r>
          </w:p>
        </w:tc>
        <w:tc>
          <w:tcPr>
            <w:tcW w:w="1468" w:type="dxa"/>
            <w:shd w:val="clear" w:color="auto" w:fill="auto"/>
            <w:noWrap/>
            <w:vAlign w:val="center"/>
          </w:tcPr>
          <w:p w14:paraId="5818DD21" w14:textId="77777777" w:rsidR="00F53AB2" w:rsidRPr="005D7C3D" w:rsidRDefault="00F53AB2" w:rsidP="003C3DAA">
            <w:pPr>
              <w:jc w:val="right"/>
              <w:rPr>
                <w:sz w:val="22"/>
                <w:szCs w:val="22"/>
              </w:rPr>
            </w:pPr>
            <w:r w:rsidRPr="005D7C3D">
              <w:rPr>
                <w:sz w:val="22"/>
                <w:szCs w:val="22"/>
              </w:rPr>
              <w:t>71,05%</w:t>
            </w:r>
          </w:p>
        </w:tc>
      </w:tr>
      <w:tr w:rsidR="00F53AB2" w:rsidRPr="006739B2" w14:paraId="5CE1D60F" w14:textId="77777777" w:rsidTr="003C3DAA">
        <w:trPr>
          <w:trHeight w:val="290"/>
        </w:trPr>
        <w:tc>
          <w:tcPr>
            <w:tcW w:w="851" w:type="dxa"/>
            <w:shd w:val="clear" w:color="auto" w:fill="auto"/>
            <w:noWrap/>
          </w:tcPr>
          <w:p w14:paraId="0181CE85" w14:textId="77777777" w:rsidR="00F53AB2" w:rsidRPr="005D7C3D" w:rsidRDefault="00F53AB2" w:rsidP="003C3DAA">
            <w:pPr>
              <w:jc w:val="center"/>
              <w:rPr>
                <w:sz w:val="22"/>
                <w:szCs w:val="22"/>
              </w:rPr>
            </w:pPr>
            <w:r w:rsidRPr="005D7C3D">
              <w:rPr>
                <w:sz w:val="22"/>
                <w:szCs w:val="22"/>
              </w:rPr>
              <w:t>31.</w:t>
            </w:r>
          </w:p>
        </w:tc>
        <w:tc>
          <w:tcPr>
            <w:tcW w:w="6095" w:type="dxa"/>
            <w:shd w:val="clear" w:color="auto" w:fill="auto"/>
            <w:noWrap/>
            <w:vAlign w:val="center"/>
          </w:tcPr>
          <w:p w14:paraId="6BDC65E2" w14:textId="77777777" w:rsidR="00F53AB2" w:rsidRPr="005D7C3D" w:rsidRDefault="00F53AB2" w:rsidP="003C3DAA">
            <w:pPr>
              <w:rPr>
                <w:sz w:val="22"/>
                <w:szCs w:val="22"/>
              </w:rPr>
            </w:pPr>
            <w:r w:rsidRPr="005D7C3D">
              <w:rPr>
                <w:sz w:val="22"/>
                <w:szCs w:val="22"/>
              </w:rPr>
              <w:t>Služba za poslove sa strancima BiH</w:t>
            </w:r>
          </w:p>
        </w:tc>
        <w:tc>
          <w:tcPr>
            <w:tcW w:w="1276" w:type="dxa"/>
            <w:shd w:val="clear" w:color="auto" w:fill="auto"/>
            <w:noWrap/>
            <w:vAlign w:val="center"/>
          </w:tcPr>
          <w:p w14:paraId="013D7755" w14:textId="77777777" w:rsidR="00F53AB2" w:rsidRPr="005D7C3D" w:rsidRDefault="00F53AB2" w:rsidP="003C3DAA">
            <w:pPr>
              <w:jc w:val="center"/>
              <w:rPr>
                <w:sz w:val="22"/>
                <w:szCs w:val="22"/>
              </w:rPr>
            </w:pPr>
            <w:r w:rsidRPr="005D7C3D">
              <w:rPr>
                <w:sz w:val="22"/>
                <w:szCs w:val="22"/>
              </w:rPr>
              <w:t>27/38</w:t>
            </w:r>
          </w:p>
        </w:tc>
        <w:tc>
          <w:tcPr>
            <w:tcW w:w="1468" w:type="dxa"/>
            <w:shd w:val="clear" w:color="auto" w:fill="auto"/>
            <w:noWrap/>
            <w:vAlign w:val="center"/>
          </w:tcPr>
          <w:p w14:paraId="2E17AA02" w14:textId="77777777" w:rsidR="00F53AB2" w:rsidRPr="005D7C3D" w:rsidRDefault="00F53AB2" w:rsidP="003C3DAA">
            <w:pPr>
              <w:jc w:val="right"/>
              <w:rPr>
                <w:sz w:val="22"/>
                <w:szCs w:val="22"/>
              </w:rPr>
            </w:pPr>
            <w:r w:rsidRPr="005D7C3D">
              <w:rPr>
                <w:sz w:val="22"/>
                <w:szCs w:val="22"/>
              </w:rPr>
              <w:t>71,05%</w:t>
            </w:r>
          </w:p>
        </w:tc>
      </w:tr>
      <w:tr w:rsidR="00F53AB2" w:rsidRPr="006739B2" w14:paraId="0545881A" w14:textId="77777777" w:rsidTr="003C3DAA">
        <w:trPr>
          <w:trHeight w:val="290"/>
        </w:trPr>
        <w:tc>
          <w:tcPr>
            <w:tcW w:w="851" w:type="dxa"/>
            <w:shd w:val="clear" w:color="auto" w:fill="auto"/>
            <w:noWrap/>
          </w:tcPr>
          <w:p w14:paraId="5EDDDFCB" w14:textId="77777777" w:rsidR="00F53AB2" w:rsidRPr="005D7C3D" w:rsidRDefault="00F53AB2" w:rsidP="003C3DAA">
            <w:pPr>
              <w:jc w:val="center"/>
              <w:rPr>
                <w:sz w:val="22"/>
                <w:szCs w:val="22"/>
              </w:rPr>
            </w:pPr>
            <w:r w:rsidRPr="005D7C3D">
              <w:rPr>
                <w:sz w:val="22"/>
                <w:szCs w:val="22"/>
              </w:rPr>
              <w:t>32.</w:t>
            </w:r>
          </w:p>
        </w:tc>
        <w:tc>
          <w:tcPr>
            <w:tcW w:w="6095" w:type="dxa"/>
            <w:shd w:val="clear" w:color="auto" w:fill="auto"/>
            <w:noWrap/>
            <w:vAlign w:val="center"/>
          </w:tcPr>
          <w:p w14:paraId="00DF44EB" w14:textId="77777777" w:rsidR="00F53AB2" w:rsidRPr="005D7C3D" w:rsidRDefault="00F53AB2" w:rsidP="003C3DAA">
            <w:pPr>
              <w:rPr>
                <w:sz w:val="22"/>
                <w:szCs w:val="22"/>
              </w:rPr>
            </w:pPr>
            <w:r w:rsidRPr="005D7C3D">
              <w:rPr>
                <w:sz w:val="22"/>
                <w:szCs w:val="22"/>
              </w:rPr>
              <w:t>Institucija ombudsmena za zaštitu potrošača u BiH</w:t>
            </w:r>
          </w:p>
        </w:tc>
        <w:tc>
          <w:tcPr>
            <w:tcW w:w="1276" w:type="dxa"/>
            <w:shd w:val="clear" w:color="auto" w:fill="auto"/>
            <w:noWrap/>
            <w:vAlign w:val="center"/>
          </w:tcPr>
          <w:p w14:paraId="10639A81" w14:textId="77777777" w:rsidR="00F53AB2" w:rsidRPr="005D7C3D" w:rsidRDefault="00F53AB2" w:rsidP="003C3DAA">
            <w:pPr>
              <w:jc w:val="center"/>
              <w:rPr>
                <w:sz w:val="22"/>
                <w:szCs w:val="22"/>
              </w:rPr>
            </w:pPr>
            <w:r w:rsidRPr="005D7C3D">
              <w:rPr>
                <w:sz w:val="22"/>
                <w:szCs w:val="22"/>
              </w:rPr>
              <w:t>28/38</w:t>
            </w:r>
          </w:p>
        </w:tc>
        <w:tc>
          <w:tcPr>
            <w:tcW w:w="1468" w:type="dxa"/>
            <w:shd w:val="clear" w:color="auto" w:fill="auto"/>
            <w:noWrap/>
            <w:vAlign w:val="center"/>
          </w:tcPr>
          <w:p w14:paraId="582B0401" w14:textId="77777777" w:rsidR="00F53AB2" w:rsidRPr="005D7C3D" w:rsidRDefault="00F53AB2" w:rsidP="003C3DAA">
            <w:pPr>
              <w:jc w:val="right"/>
              <w:rPr>
                <w:sz w:val="22"/>
                <w:szCs w:val="22"/>
              </w:rPr>
            </w:pPr>
            <w:r w:rsidRPr="005D7C3D">
              <w:rPr>
                <w:sz w:val="22"/>
                <w:szCs w:val="22"/>
              </w:rPr>
              <w:t>73,68%</w:t>
            </w:r>
          </w:p>
        </w:tc>
      </w:tr>
      <w:tr w:rsidR="00F53AB2" w:rsidRPr="006739B2" w14:paraId="08B5887E" w14:textId="77777777" w:rsidTr="003C3DAA">
        <w:trPr>
          <w:trHeight w:val="290"/>
        </w:trPr>
        <w:tc>
          <w:tcPr>
            <w:tcW w:w="851" w:type="dxa"/>
            <w:shd w:val="clear" w:color="auto" w:fill="auto"/>
            <w:noWrap/>
          </w:tcPr>
          <w:p w14:paraId="5782EE43" w14:textId="77777777" w:rsidR="00F53AB2" w:rsidRPr="005D7C3D" w:rsidRDefault="00F53AB2" w:rsidP="003C3DAA">
            <w:pPr>
              <w:jc w:val="center"/>
              <w:rPr>
                <w:sz w:val="22"/>
                <w:szCs w:val="22"/>
              </w:rPr>
            </w:pPr>
            <w:r w:rsidRPr="005D7C3D">
              <w:rPr>
                <w:sz w:val="22"/>
                <w:szCs w:val="22"/>
              </w:rPr>
              <w:t>33.</w:t>
            </w:r>
          </w:p>
        </w:tc>
        <w:tc>
          <w:tcPr>
            <w:tcW w:w="6095" w:type="dxa"/>
            <w:shd w:val="clear" w:color="auto" w:fill="auto"/>
            <w:noWrap/>
            <w:vAlign w:val="center"/>
          </w:tcPr>
          <w:p w14:paraId="54FB6F9B" w14:textId="77777777" w:rsidR="00F53AB2" w:rsidRPr="005D7C3D" w:rsidRDefault="00F53AB2" w:rsidP="003C3DAA">
            <w:pPr>
              <w:rPr>
                <w:sz w:val="22"/>
                <w:szCs w:val="22"/>
              </w:rPr>
            </w:pPr>
            <w:r w:rsidRPr="005D7C3D">
              <w:rPr>
                <w:sz w:val="22"/>
                <w:szCs w:val="22"/>
              </w:rPr>
              <w:t>Ministarstvo odbrane BiH</w:t>
            </w:r>
          </w:p>
        </w:tc>
        <w:tc>
          <w:tcPr>
            <w:tcW w:w="1276" w:type="dxa"/>
            <w:shd w:val="clear" w:color="auto" w:fill="auto"/>
            <w:noWrap/>
            <w:vAlign w:val="center"/>
          </w:tcPr>
          <w:p w14:paraId="4CF58365" w14:textId="77777777" w:rsidR="00F53AB2" w:rsidRPr="005D7C3D" w:rsidRDefault="00F53AB2" w:rsidP="003C3DAA">
            <w:pPr>
              <w:jc w:val="center"/>
              <w:rPr>
                <w:sz w:val="22"/>
                <w:szCs w:val="22"/>
              </w:rPr>
            </w:pPr>
            <w:r w:rsidRPr="005D7C3D">
              <w:rPr>
                <w:sz w:val="22"/>
                <w:szCs w:val="22"/>
              </w:rPr>
              <w:t>28/38</w:t>
            </w:r>
          </w:p>
        </w:tc>
        <w:tc>
          <w:tcPr>
            <w:tcW w:w="1468" w:type="dxa"/>
            <w:shd w:val="clear" w:color="auto" w:fill="auto"/>
            <w:noWrap/>
            <w:vAlign w:val="center"/>
          </w:tcPr>
          <w:p w14:paraId="01BE9DBA" w14:textId="77777777" w:rsidR="00F53AB2" w:rsidRPr="005D7C3D" w:rsidRDefault="00F53AB2" w:rsidP="003C3DAA">
            <w:pPr>
              <w:jc w:val="right"/>
              <w:rPr>
                <w:sz w:val="22"/>
                <w:szCs w:val="22"/>
              </w:rPr>
            </w:pPr>
            <w:r w:rsidRPr="005D7C3D">
              <w:rPr>
                <w:sz w:val="22"/>
                <w:szCs w:val="22"/>
              </w:rPr>
              <w:t>73,68%</w:t>
            </w:r>
          </w:p>
        </w:tc>
      </w:tr>
      <w:tr w:rsidR="00F53AB2" w:rsidRPr="006739B2" w14:paraId="12C201CB" w14:textId="77777777" w:rsidTr="003C3DAA">
        <w:trPr>
          <w:trHeight w:val="290"/>
        </w:trPr>
        <w:tc>
          <w:tcPr>
            <w:tcW w:w="851" w:type="dxa"/>
            <w:shd w:val="clear" w:color="auto" w:fill="auto"/>
            <w:noWrap/>
          </w:tcPr>
          <w:p w14:paraId="37420BCA" w14:textId="77777777" w:rsidR="00F53AB2" w:rsidRPr="005D7C3D" w:rsidRDefault="00F53AB2" w:rsidP="003C3DAA">
            <w:pPr>
              <w:jc w:val="center"/>
              <w:rPr>
                <w:sz w:val="22"/>
                <w:szCs w:val="22"/>
              </w:rPr>
            </w:pPr>
            <w:r w:rsidRPr="005D7C3D">
              <w:rPr>
                <w:sz w:val="22"/>
                <w:szCs w:val="22"/>
              </w:rPr>
              <w:t>34.</w:t>
            </w:r>
          </w:p>
        </w:tc>
        <w:tc>
          <w:tcPr>
            <w:tcW w:w="6095" w:type="dxa"/>
            <w:shd w:val="clear" w:color="auto" w:fill="auto"/>
            <w:noWrap/>
            <w:vAlign w:val="center"/>
          </w:tcPr>
          <w:p w14:paraId="7BCB0FD3" w14:textId="77777777" w:rsidR="00F53AB2" w:rsidRPr="005D7C3D" w:rsidRDefault="00F53AB2" w:rsidP="003C3DAA">
            <w:pPr>
              <w:rPr>
                <w:sz w:val="22"/>
                <w:szCs w:val="22"/>
              </w:rPr>
            </w:pPr>
            <w:r w:rsidRPr="005D7C3D">
              <w:rPr>
                <w:sz w:val="22"/>
                <w:szCs w:val="22"/>
              </w:rPr>
              <w:t>Predsjedništvo BiH</w:t>
            </w:r>
          </w:p>
        </w:tc>
        <w:tc>
          <w:tcPr>
            <w:tcW w:w="1276" w:type="dxa"/>
            <w:shd w:val="clear" w:color="auto" w:fill="auto"/>
            <w:noWrap/>
            <w:vAlign w:val="center"/>
          </w:tcPr>
          <w:p w14:paraId="382AFF33" w14:textId="77777777" w:rsidR="00F53AB2" w:rsidRPr="005D7C3D" w:rsidRDefault="00F53AB2" w:rsidP="003C3DAA">
            <w:pPr>
              <w:jc w:val="center"/>
              <w:rPr>
                <w:sz w:val="22"/>
                <w:szCs w:val="22"/>
              </w:rPr>
            </w:pPr>
            <w:r w:rsidRPr="005D7C3D">
              <w:rPr>
                <w:sz w:val="22"/>
                <w:szCs w:val="22"/>
              </w:rPr>
              <w:t>28/38</w:t>
            </w:r>
          </w:p>
        </w:tc>
        <w:tc>
          <w:tcPr>
            <w:tcW w:w="1468" w:type="dxa"/>
            <w:shd w:val="clear" w:color="auto" w:fill="auto"/>
            <w:noWrap/>
            <w:vAlign w:val="center"/>
          </w:tcPr>
          <w:p w14:paraId="648D1095" w14:textId="77777777" w:rsidR="00F53AB2" w:rsidRPr="005D7C3D" w:rsidRDefault="00F53AB2" w:rsidP="003C3DAA">
            <w:pPr>
              <w:jc w:val="right"/>
              <w:rPr>
                <w:sz w:val="22"/>
                <w:szCs w:val="22"/>
              </w:rPr>
            </w:pPr>
            <w:r w:rsidRPr="005D7C3D">
              <w:rPr>
                <w:sz w:val="22"/>
                <w:szCs w:val="22"/>
              </w:rPr>
              <w:t>73,68%</w:t>
            </w:r>
          </w:p>
        </w:tc>
      </w:tr>
      <w:tr w:rsidR="00F53AB2" w:rsidRPr="006739B2" w14:paraId="346587D4" w14:textId="77777777" w:rsidTr="003C3DAA">
        <w:trPr>
          <w:trHeight w:val="290"/>
        </w:trPr>
        <w:tc>
          <w:tcPr>
            <w:tcW w:w="851" w:type="dxa"/>
            <w:shd w:val="clear" w:color="auto" w:fill="auto"/>
            <w:noWrap/>
          </w:tcPr>
          <w:p w14:paraId="37CB7E2C" w14:textId="77777777" w:rsidR="00F53AB2" w:rsidRPr="005D7C3D" w:rsidRDefault="00F53AB2" w:rsidP="003C3DAA">
            <w:pPr>
              <w:jc w:val="center"/>
              <w:rPr>
                <w:sz w:val="22"/>
                <w:szCs w:val="22"/>
              </w:rPr>
            </w:pPr>
            <w:r w:rsidRPr="005D7C3D">
              <w:rPr>
                <w:sz w:val="22"/>
                <w:szCs w:val="22"/>
              </w:rPr>
              <w:t>35.</w:t>
            </w:r>
          </w:p>
        </w:tc>
        <w:tc>
          <w:tcPr>
            <w:tcW w:w="6095" w:type="dxa"/>
            <w:shd w:val="clear" w:color="auto" w:fill="auto"/>
            <w:noWrap/>
            <w:vAlign w:val="center"/>
          </w:tcPr>
          <w:p w14:paraId="14B42505" w14:textId="77777777" w:rsidR="00F53AB2" w:rsidRPr="005D7C3D" w:rsidRDefault="00F53AB2" w:rsidP="003C3DAA">
            <w:pPr>
              <w:rPr>
                <w:sz w:val="22"/>
                <w:szCs w:val="22"/>
              </w:rPr>
            </w:pPr>
            <w:r w:rsidRPr="005D7C3D">
              <w:rPr>
                <w:sz w:val="22"/>
                <w:szCs w:val="22"/>
              </w:rPr>
              <w:t>Regulatorna agencija za komunikacije BiH</w:t>
            </w:r>
          </w:p>
        </w:tc>
        <w:tc>
          <w:tcPr>
            <w:tcW w:w="1276" w:type="dxa"/>
            <w:shd w:val="clear" w:color="auto" w:fill="auto"/>
            <w:noWrap/>
            <w:vAlign w:val="center"/>
          </w:tcPr>
          <w:p w14:paraId="5DFCEBC9" w14:textId="77777777" w:rsidR="00F53AB2" w:rsidRPr="005D7C3D" w:rsidRDefault="00F53AB2" w:rsidP="003C3DAA">
            <w:pPr>
              <w:jc w:val="center"/>
              <w:rPr>
                <w:sz w:val="22"/>
                <w:szCs w:val="22"/>
              </w:rPr>
            </w:pPr>
            <w:r w:rsidRPr="005D7C3D">
              <w:rPr>
                <w:sz w:val="22"/>
                <w:szCs w:val="22"/>
              </w:rPr>
              <w:t>29/38</w:t>
            </w:r>
          </w:p>
        </w:tc>
        <w:tc>
          <w:tcPr>
            <w:tcW w:w="1468" w:type="dxa"/>
            <w:shd w:val="clear" w:color="auto" w:fill="auto"/>
            <w:noWrap/>
            <w:vAlign w:val="center"/>
          </w:tcPr>
          <w:p w14:paraId="4AEE55FC" w14:textId="77777777" w:rsidR="00F53AB2" w:rsidRPr="005D7C3D" w:rsidRDefault="00F53AB2" w:rsidP="003C3DAA">
            <w:pPr>
              <w:jc w:val="right"/>
              <w:rPr>
                <w:sz w:val="22"/>
                <w:szCs w:val="22"/>
              </w:rPr>
            </w:pPr>
            <w:r w:rsidRPr="005D7C3D">
              <w:rPr>
                <w:sz w:val="22"/>
                <w:szCs w:val="22"/>
              </w:rPr>
              <w:t>76,32%</w:t>
            </w:r>
          </w:p>
        </w:tc>
      </w:tr>
      <w:tr w:rsidR="00F53AB2" w:rsidRPr="006739B2" w14:paraId="14C198DF" w14:textId="77777777" w:rsidTr="003C3DAA">
        <w:trPr>
          <w:trHeight w:val="290"/>
        </w:trPr>
        <w:tc>
          <w:tcPr>
            <w:tcW w:w="851" w:type="dxa"/>
            <w:shd w:val="clear" w:color="auto" w:fill="auto"/>
            <w:noWrap/>
          </w:tcPr>
          <w:p w14:paraId="36189D58" w14:textId="77777777" w:rsidR="00F53AB2" w:rsidRPr="005D7C3D" w:rsidRDefault="00F53AB2" w:rsidP="003C3DAA">
            <w:pPr>
              <w:jc w:val="center"/>
              <w:rPr>
                <w:sz w:val="22"/>
                <w:szCs w:val="22"/>
              </w:rPr>
            </w:pPr>
            <w:r w:rsidRPr="005D7C3D">
              <w:rPr>
                <w:sz w:val="22"/>
                <w:szCs w:val="22"/>
              </w:rPr>
              <w:t>36.</w:t>
            </w:r>
          </w:p>
        </w:tc>
        <w:tc>
          <w:tcPr>
            <w:tcW w:w="6095" w:type="dxa"/>
            <w:shd w:val="clear" w:color="auto" w:fill="auto"/>
            <w:noWrap/>
            <w:vAlign w:val="center"/>
          </w:tcPr>
          <w:p w14:paraId="6958FDD3" w14:textId="77777777" w:rsidR="00F53AB2" w:rsidRPr="005D7C3D" w:rsidRDefault="00F53AB2" w:rsidP="003C3DAA">
            <w:pPr>
              <w:rPr>
                <w:sz w:val="22"/>
                <w:szCs w:val="22"/>
              </w:rPr>
            </w:pPr>
            <w:r w:rsidRPr="005D7C3D">
              <w:rPr>
                <w:sz w:val="22"/>
                <w:szCs w:val="22"/>
              </w:rPr>
              <w:t>Direkcija za ekonomsko planiranje BiH</w:t>
            </w:r>
          </w:p>
        </w:tc>
        <w:tc>
          <w:tcPr>
            <w:tcW w:w="1276" w:type="dxa"/>
            <w:shd w:val="clear" w:color="auto" w:fill="auto"/>
            <w:noWrap/>
            <w:vAlign w:val="center"/>
          </w:tcPr>
          <w:p w14:paraId="160E8516" w14:textId="77777777" w:rsidR="00F53AB2" w:rsidRPr="005D7C3D" w:rsidRDefault="00F53AB2" w:rsidP="003C3DAA">
            <w:pPr>
              <w:jc w:val="center"/>
              <w:rPr>
                <w:sz w:val="22"/>
                <w:szCs w:val="22"/>
              </w:rPr>
            </w:pPr>
            <w:r w:rsidRPr="005D7C3D">
              <w:rPr>
                <w:sz w:val="22"/>
                <w:szCs w:val="22"/>
              </w:rPr>
              <w:t>30/38</w:t>
            </w:r>
          </w:p>
        </w:tc>
        <w:tc>
          <w:tcPr>
            <w:tcW w:w="1468" w:type="dxa"/>
            <w:shd w:val="clear" w:color="auto" w:fill="auto"/>
            <w:noWrap/>
            <w:vAlign w:val="center"/>
          </w:tcPr>
          <w:p w14:paraId="46145304" w14:textId="77777777" w:rsidR="00F53AB2" w:rsidRPr="005D7C3D" w:rsidRDefault="00F53AB2" w:rsidP="003C3DAA">
            <w:pPr>
              <w:jc w:val="right"/>
              <w:rPr>
                <w:sz w:val="22"/>
                <w:szCs w:val="22"/>
              </w:rPr>
            </w:pPr>
            <w:r w:rsidRPr="005D7C3D">
              <w:rPr>
                <w:sz w:val="22"/>
                <w:szCs w:val="22"/>
              </w:rPr>
              <w:t>78,95%</w:t>
            </w:r>
          </w:p>
        </w:tc>
      </w:tr>
      <w:tr w:rsidR="00F53AB2" w:rsidRPr="006739B2" w14:paraId="4C4CC929" w14:textId="77777777" w:rsidTr="003C3DAA">
        <w:trPr>
          <w:trHeight w:val="290"/>
        </w:trPr>
        <w:tc>
          <w:tcPr>
            <w:tcW w:w="851" w:type="dxa"/>
            <w:shd w:val="clear" w:color="auto" w:fill="auto"/>
            <w:noWrap/>
          </w:tcPr>
          <w:p w14:paraId="62126360" w14:textId="77777777" w:rsidR="00F53AB2" w:rsidRPr="005D7C3D" w:rsidRDefault="00F53AB2" w:rsidP="003C3DAA">
            <w:pPr>
              <w:jc w:val="center"/>
              <w:rPr>
                <w:sz w:val="22"/>
                <w:szCs w:val="22"/>
              </w:rPr>
            </w:pPr>
            <w:r w:rsidRPr="005D7C3D">
              <w:rPr>
                <w:sz w:val="22"/>
                <w:szCs w:val="22"/>
              </w:rPr>
              <w:t>37.</w:t>
            </w:r>
          </w:p>
        </w:tc>
        <w:tc>
          <w:tcPr>
            <w:tcW w:w="6095" w:type="dxa"/>
            <w:shd w:val="clear" w:color="auto" w:fill="auto"/>
            <w:noWrap/>
            <w:vAlign w:val="center"/>
          </w:tcPr>
          <w:p w14:paraId="767B34D6" w14:textId="77777777" w:rsidR="00F53AB2" w:rsidRPr="005D7C3D" w:rsidRDefault="00F53AB2" w:rsidP="003C3DAA">
            <w:pPr>
              <w:rPr>
                <w:sz w:val="22"/>
                <w:szCs w:val="22"/>
              </w:rPr>
            </w:pPr>
            <w:r w:rsidRPr="005D7C3D">
              <w:rPr>
                <w:sz w:val="22"/>
                <w:szCs w:val="22"/>
              </w:rPr>
              <w:t>Institucija ombudsmena za ljudska prava BiH</w:t>
            </w:r>
          </w:p>
        </w:tc>
        <w:tc>
          <w:tcPr>
            <w:tcW w:w="1276" w:type="dxa"/>
            <w:shd w:val="clear" w:color="auto" w:fill="auto"/>
            <w:noWrap/>
            <w:vAlign w:val="center"/>
          </w:tcPr>
          <w:p w14:paraId="6FA6E336" w14:textId="77777777" w:rsidR="00F53AB2" w:rsidRPr="005D7C3D" w:rsidRDefault="00F53AB2" w:rsidP="003C3DAA">
            <w:pPr>
              <w:jc w:val="center"/>
              <w:rPr>
                <w:sz w:val="22"/>
                <w:szCs w:val="22"/>
              </w:rPr>
            </w:pPr>
            <w:r w:rsidRPr="005D7C3D">
              <w:rPr>
                <w:sz w:val="22"/>
                <w:szCs w:val="22"/>
              </w:rPr>
              <w:t>30/38</w:t>
            </w:r>
          </w:p>
        </w:tc>
        <w:tc>
          <w:tcPr>
            <w:tcW w:w="1468" w:type="dxa"/>
            <w:shd w:val="clear" w:color="auto" w:fill="auto"/>
            <w:noWrap/>
            <w:vAlign w:val="center"/>
          </w:tcPr>
          <w:p w14:paraId="706776FD" w14:textId="77777777" w:rsidR="00F53AB2" w:rsidRPr="005D7C3D" w:rsidRDefault="00F53AB2" w:rsidP="003C3DAA">
            <w:pPr>
              <w:jc w:val="right"/>
              <w:rPr>
                <w:sz w:val="22"/>
                <w:szCs w:val="22"/>
              </w:rPr>
            </w:pPr>
            <w:r w:rsidRPr="005D7C3D">
              <w:rPr>
                <w:sz w:val="22"/>
                <w:szCs w:val="22"/>
              </w:rPr>
              <w:t>78,95%</w:t>
            </w:r>
          </w:p>
        </w:tc>
      </w:tr>
      <w:tr w:rsidR="00F53AB2" w:rsidRPr="006739B2" w14:paraId="405503E9" w14:textId="77777777" w:rsidTr="003C3DAA">
        <w:trPr>
          <w:trHeight w:val="290"/>
        </w:trPr>
        <w:tc>
          <w:tcPr>
            <w:tcW w:w="851" w:type="dxa"/>
            <w:shd w:val="clear" w:color="auto" w:fill="auto"/>
            <w:noWrap/>
          </w:tcPr>
          <w:p w14:paraId="38CE1079" w14:textId="77777777" w:rsidR="00F53AB2" w:rsidRPr="005D7C3D" w:rsidRDefault="00F53AB2" w:rsidP="003C3DAA">
            <w:pPr>
              <w:jc w:val="center"/>
              <w:rPr>
                <w:sz w:val="22"/>
                <w:szCs w:val="22"/>
              </w:rPr>
            </w:pPr>
            <w:r w:rsidRPr="005D7C3D">
              <w:rPr>
                <w:sz w:val="22"/>
                <w:szCs w:val="22"/>
              </w:rPr>
              <w:t>38.</w:t>
            </w:r>
          </w:p>
        </w:tc>
        <w:tc>
          <w:tcPr>
            <w:tcW w:w="6095" w:type="dxa"/>
            <w:shd w:val="clear" w:color="auto" w:fill="auto"/>
            <w:noWrap/>
            <w:vAlign w:val="center"/>
          </w:tcPr>
          <w:p w14:paraId="545ABEFB" w14:textId="77777777" w:rsidR="00F53AB2" w:rsidRPr="005D7C3D" w:rsidRDefault="00F53AB2" w:rsidP="003C3DAA">
            <w:pPr>
              <w:rPr>
                <w:sz w:val="22"/>
                <w:szCs w:val="22"/>
              </w:rPr>
            </w:pPr>
            <w:r w:rsidRPr="005D7C3D">
              <w:rPr>
                <w:sz w:val="22"/>
                <w:szCs w:val="22"/>
              </w:rPr>
              <w:t>Institut za standardizaciju BiH</w:t>
            </w:r>
          </w:p>
        </w:tc>
        <w:tc>
          <w:tcPr>
            <w:tcW w:w="1276" w:type="dxa"/>
            <w:shd w:val="clear" w:color="auto" w:fill="auto"/>
            <w:noWrap/>
            <w:vAlign w:val="center"/>
          </w:tcPr>
          <w:p w14:paraId="385D98E6" w14:textId="77777777" w:rsidR="00F53AB2" w:rsidRPr="005D7C3D" w:rsidRDefault="00F53AB2" w:rsidP="003C3DAA">
            <w:pPr>
              <w:jc w:val="center"/>
              <w:rPr>
                <w:sz w:val="22"/>
                <w:szCs w:val="22"/>
              </w:rPr>
            </w:pPr>
            <w:r w:rsidRPr="005D7C3D">
              <w:rPr>
                <w:sz w:val="22"/>
                <w:szCs w:val="22"/>
              </w:rPr>
              <w:t>30/38</w:t>
            </w:r>
          </w:p>
        </w:tc>
        <w:tc>
          <w:tcPr>
            <w:tcW w:w="1468" w:type="dxa"/>
            <w:shd w:val="clear" w:color="auto" w:fill="auto"/>
            <w:noWrap/>
            <w:vAlign w:val="center"/>
          </w:tcPr>
          <w:p w14:paraId="79BF70BD" w14:textId="77777777" w:rsidR="00F53AB2" w:rsidRPr="005D7C3D" w:rsidRDefault="00F53AB2" w:rsidP="003C3DAA">
            <w:pPr>
              <w:jc w:val="right"/>
              <w:rPr>
                <w:sz w:val="22"/>
                <w:szCs w:val="22"/>
              </w:rPr>
            </w:pPr>
            <w:r w:rsidRPr="005D7C3D">
              <w:rPr>
                <w:sz w:val="22"/>
                <w:szCs w:val="22"/>
              </w:rPr>
              <w:t>78,95%</w:t>
            </w:r>
          </w:p>
        </w:tc>
      </w:tr>
      <w:tr w:rsidR="00F53AB2" w:rsidRPr="006739B2" w14:paraId="659867A9" w14:textId="77777777" w:rsidTr="003C3DAA">
        <w:trPr>
          <w:trHeight w:val="290"/>
        </w:trPr>
        <w:tc>
          <w:tcPr>
            <w:tcW w:w="851" w:type="dxa"/>
            <w:shd w:val="clear" w:color="auto" w:fill="auto"/>
            <w:noWrap/>
          </w:tcPr>
          <w:p w14:paraId="1883E839" w14:textId="77777777" w:rsidR="00F53AB2" w:rsidRPr="005D7C3D" w:rsidRDefault="00F53AB2" w:rsidP="003C3DAA">
            <w:pPr>
              <w:jc w:val="center"/>
              <w:rPr>
                <w:sz w:val="22"/>
                <w:szCs w:val="22"/>
              </w:rPr>
            </w:pPr>
            <w:r w:rsidRPr="005D7C3D">
              <w:rPr>
                <w:sz w:val="22"/>
                <w:szCs w:val="22"/>
              </w:rPr>
              <w:t>39.</w:t>
            </w:r>
          </w:p>
        </w:tc>
        <w:tc>
          <w:tcPr>
            <w:tcW w:w="6095" w:type="dxa"/>
            <w:shd w:val="clear" w:color="auto" w:fill="auto"/>
            <w:noWrap/>
            <w:vAlign w:val="center"/>
          </w:tcPr>
          <w:p w14:paraId="17709FBC" w14:textId="77777777" w:rsidR="00F53AB2" w:rsidRPr="005D7C3D" w:rsidRDefault="00F53AB2" w:rsidP="003C3DAA">
            <w:pPr>
              <w:rPr>
                <w:sz w:val="22"/>
                <w:szCs w:val="22"/>
              </w:rPr>
            </w:pPr>
            <w:r w:rsidRPr="005D7C3D">
              <w:rPr>
                <w:sz w:val="22"/>
                <w:szCs w:val="22"/>
              </w:rPr>
              <w:t>Agencija za državnu službu BiH</w:t>
            </w:r>
          </w:p>
        </w:tc>
        <w:tc>
          <w:tcPr>
            <w:tcW w:w="1276" w:type="dxa"/>
            <w:shd w:val="clear" w:color="auto" w:fill="auto"/>
            <w:noWrap/>
            <w:vAlign w:val="center"/>
          </w:tcPr>
          <w:p w14:paraId="56ACBEA5" w14:textId="77777777" w:rsidR="00F53AB2" w:rsidRPr="005D7C3D" w:rsidRDefault="00F53AB2" w:rsidP="003C3DAA">
            <w:pPr>
              <w:jc w:val="center"/>
              <w:rPr>
                <w:sz w:val="22"/>
                <w:szCs w:val="22"/>
              </w:rPr>
            </w:pPr>
            <w:r w:rsidRPr="005D7C3D">
              <w:rPr>
                <w:sz w:val="22"/>
                <w:szCs w:val="22"/>
              </w:rPr>
              <w:t>31/38</w:t>
            </w:r>
          </w:p>
        </w:tc>
        <w:tc>
          <w:tcPr>
            <w:tcW w:w="1468" w:type="dxa"/>
            <w:shd w:val="clear" w:color="auto" w:fill="auto"/>
            <w:noWrap/>
            <w:vAlign w:val="center"/>
          </w:tcPr>
          <w:p w14:paraId="3C1AA77E" w14:textId="77777777" w:rsidR="00F53AB2" w:rsidRPr="005D7C3D" w:rsidRDefault="00F53AB2" w:rsidP="003C3DAA">
            <w:pPr>
              <w:jc w:val="right"/>
              <w:rPr>
                <w:sz w:val="22"/>
                <w:szCs w:val="22"/>
              </w:rPr>
            </w:pPr>
            <w:r w:rsidRPr="005D7C3D">
              <w:rPr>
                <w:sz w:val="22"/>
                <w:szCs w:val="22"/>
              </w:rPr>
              <w:t>81,58%</w:t>
            </w:r>
          </w:p>
        </w:tc>
      </w:tr>
      <w:tr w:rsidR="00F53AB2" w:rsidRPr="006739B2" w14:paraId="681BE91E" w14:textId="77777777" w:rsidTr="003C3DAA">
        <w:trPr>
          <w:trHeight w:val="290"/>
        </w:trPr>
        <w:tc>
          <w:tcPr>
            <w:tcW w:w="851" w:type="dxa"/>
            <w:shd w:val="clear" w:color="auto" w:fill="auto"/>
            <w:noWrap/>
          </w:tcPr>
          <w:p w14:paraId="22CDA4E6" w14:textId="77777777" w:rsidR="00F53AB2" w:rsidRPr="005D7C3D" w:rsidRDefault="00F53AB2" w:rsidP="003C3DAA">
            <w:pPr>
              <w:jc w:val="center"/>
              <w:rPr>
                <w:sz w:val="22"/>
                <w:szCs w:val="22"/>
              </w:rPr>
            </w:pPr>
            <w:r w:rsidRPr="005D7C3D">
              <w:rPr>
                <w:sz w:val="22"/>
                <w:szCs w:val="22"/>
              </w:rPr>
              <w:t>40.</w:t>
            </w:r>
          </w:p>
        </w:tc>
        <w:tc>
          <w:tcPr>
            <w:tcW w:w="6095" w:type="dxa"/>
            <w:shd w:val="clear" w:color="auto" w:fill="auto"/>
            <w:noWrap/>
            <w:vAlign w:val="center"/>
          </w:tcPr>
          <w:p w14:paraId="463BD19D" w14:textId="77777777" w:rsidR="00F53AB2" w:rsidRPr="005D7C3D" w:rsidRDefault="00F53AB2" w:rsidP="003C3DAA">
            <w:pPr>
              <w:rPr>
                <w:sz w:val="22"/>
                <w:szCs w:val="22"/>
              </w:rPr>
            </w:pPr>
            <w:r w:rsidRPr="005D7C3D">
              <w:rPr>
                <w:sz w:val="22"/>
                <w:szCs w:val="22"/>
              </w:rPr>
              <w:t>Agencija za nadzor nad tržištem BiH</w:t>
            </w:r>
          </w:p>
        </w:tc>
        <w:tc>
          <w:tcPr>
            <w:tcW w:w="1276" w:type="dxa"/>
            <w:shd w:val="clear" w:color="auto" w:fill="auto"/>
            <w:noWrap/>
            <w:vAlign w:val="center"/>
          </w:tcPr>
          <w:p w14:paraId="7FE54780" w14:textId="77777777" w:rsidR="00F53AB2" w:rsidRPr="005D7C3D" w:rsidRDefault="00F53AB2" w:rsidP="003C3DAA">
            <w:pPr>
              <w:jc w:val="center"/>
              <w:rPr>
                <w:sz w:val="22"/>
                <w:szCs w:val="22"/>
              </w:rPr>
            </w:pPr>
            <w:r w:rsidRPr="005D7C3D">
              <w:rPr>
                <w:sz w:val="22"/>
                <w:szCs w:val="22"/>
              </w:rPr>
              <w:t>31/38</w:t>
            </w:r>
          </w:p>
        </w:tc>
        <w:tc>
          <w:tcPr>
            <w:tcW w:w="1468" w:type="dxa"/>
            <w:shd w:val="clear" w:color="auto" w:fill="auto"/>
            <w:noWrap/>
            <w:vAlign w:val="center"/>
          </w:tcPr>
          <w:p w14:paraId="19F5070B" w14:textId="77777777" w:rsidR="00F53AB2" w:rsidRPr="005D7C3D" w:rsidRDefault="00F53AB2" w:rsidP="003C3DAA">
            <w:pPr>
              <w:jc w:val="right"/>
              <w:rPr>
                <w:sz w:val="22"/>
                <w:szCs w:val="22"/>
              </w:rPr>
            </w:pPr>
            <w:r w:rsidRPr="005D7C3D">
              <w:rPr>
                <w:sz w:val="22"/>
                <w:szCs w:val="22"/>
              </w:rPr>
              <w:t>81,58%</w:t>
            </w:r>
          </w:p>
        </w:tc>
      </w:tr>
      <w:tr w:rsidR="00F53AB2" w:rsidRPr="006739B2" w14:paraId="46F9894C" w14:textId="77777777" w:rsidTr="003C3DAA">
        <w:trPr>
          <w:trHeight w:val="290"/>
        </w:trPr>
        <w:tc>
          <w:tcPr>
            <w:tcW w:w="851" w:type="dxa"/>
            <w:shd w:val="clear" w:color="auto" w:fill="auto"/>
            <w:noWrap/>
          </w:tcPr>
          <w:p w14:paraId="11CAFF9D" w14:textId="77777777" w:rsidR="00F53AB2" w:rsidRPr="005D7C3D" w:rsidRDefault="00F53AB2" w:rsidP="003C3DAA">
            <w:pPr>
              <w:jc w:val="center"/>
              <w:rPr>
                <w:sz w:val="22"/>
                <w:szCs w:val="22"/>
              </w:rPr>
            </w:pPr>
            <w:r w:rsidRPr="005D7C3D">
              <w:rPr>
                <w:sz w:val="22"/>
                <w:szCs w:val="22"/>
              </w:rPr>
              <w:t>41.</w:t>
            </w:r>
          </w:p>
        </w:tc>
        <w:tc>
          <w:tcPr>
            <w:tcW w:w="6095" w:type="dxa"/>
            <w:shd w:val="clear" w:color="auto" w:fill="auto"/>
            <w:noWrap/>
            <w:vAlign w:val="center"/>
          </w:tcPr>
          <w:p w14:paraId="33BCEA1A" w14:textId="77777777" w:rsidR="00F53AB2" w:rsidRPr="005D7C3D" w:rsidRDefault="00F53AB2" w:rsidP="003C3DAA">
            <w:pPr>
              <w:rPr>
                <w:sz w:val="22"/>
                <w:szCs w:val="22"/>
              </w:rPr>
            </w:pPr>
            <w:r w:rsidRPr="005D7C3D">
              <w:rPr>
                <w:sz w:val="22"/>
                <w:szCs w:val="22"/>
              </w:rPr>
              <w:t>Državna agencija za istrage i zaštitu BiH</w:t>
            </w:r>
          </w:p>
        </w:tc>
        <w:tc>
          <w:tcPr>
            <w:tcW w:w="1276" w:type="dxa"/>
            <w:shd w:val="clear" w:color="auto" w:fill="auto"/>
            <w:noWrap/>
            <w:vAlign w:val="center"/>
          </w:tcPr>
          <w:p w14:paraId="716DA688" w14:textId="77777777" w:rsidR="00F53AB2" w:rsidRPr="005D7C3D" w:rsidRDefault="00F53AB2" w:rsidP="003C3DAA">
            <w:pPr>
              <w:jc w:val="center"/>
              <w:rPr>
                <w:sz w:val="22"/>
                <w:szCs w:val="22"/>
              </w:rPr>
            </w:pPr>
            <w:r w:rsidRPr="005D7C3D">
              <w:rPr>
                <w:sz w:val="22"/>
                <w:szCs w:val="22"/>
              </w:rPr>
              <w:t>31/38</w:t>
            </w:r>
          </w:p>
        </w:tc>
        <w:tc>
          <w:tcPr>
            <w:tcW w:w="1468" w:type="dxa"/>
            <w:shd w:val="clear" w:color="auto" w:fill="auto"/>
            <w:noWrap/>
            <w:vAlign w:val="center"/>
          </w:tcPr>
          <w:p w14:paraId="169AAD5D" w14:textId="77777777" w:rsidR="00F53AB2" w:rsidRPr="005D7C3D" w:rsidRDefault="00F53AB2" w:rsidP="003C3DAA">
            <w:pPr>
              <w:jc w:val="right"/>
              <w:rPr>
                <w:sz w:val="22"/>
                <w:szCs w:val="22"/>
              </w:rPr>
            </w:pPr>
            <w:r w:rsidRPr="005D7C3D">
              <w:rPr>
                <w:sz w:val="22"/>
                <w:szCs w:val="22"/>
              </w:rPr>
              <w:t>81,58%</w:t>
            </w:r>
          </w:p>
        </w:tc>
      </w:tr>
      <w:tr w:rsidR="00F53AB2" w:rsidRPr="006739B2" w14:paraId="65E716CB" w14:textId="77777777" w:rsidTr="003C3DAA">
        <w:trPr>
          <w:trHeight w:val="290"/>
        </w:trPr>
        <w:tc>
          <w:tcPr>
            <w:tcW w:w="851" w:type="dxa"/>
            <w:shd w:val="clear" w:color="auto" w:fill="auto"/>
            <w:noWrap/>
          </w:tcPr>
          <w:p w14:paraId="6E151182" w14:textId="77777777" w:rsidR="00F53AB2" w:rsidRPr="005D7C3D" w:rsidRDefault="00F53AB2" w:rsidP="003C3DAA">
            <w:pPr>
              <w:jc w:val="center"/>
              <w:rPr>
                <w:sz w:val="22"/>
                <w:szCs w:val="22"/>
              </w:rPr>
            </w:pPr>
            <w:r w:rsidRPr="005D7C3D">
              <w:rPr>
                <w:sz w:val="22"/>
                <w:szCs w:val="22"/>
              </w:rPr>
              <w:t>42.</w:t>
            </w:r>
          </w:p>
        </w:tc>
        <w:tc>
          <w:tcPr>
            <w:tcW w:w="6095" w:type="dxa"/>
            <w:shd w:val="clear" w:color="auto" w:fill="auto"/>
            <w:noWrap/>
            <w:vAlign w:val="center"/>
          </w:tcPr>
          <w:p w14:paraId="394D8D75" w14:textId="77777777" w:rsidR="00F53AB2" w:rsidRPr="005D7C3D" w:rsidRDefault="00F53AB2" w:rsidP="003C3DAA">
            <w:pPr>
              <w:rPr>
                <w:sz w:val="22"/>
                <w:szCs w:val="22"/>
              </w:rPr>
            </w:pPr>
            <w:r w:rsidRPr="005D7C3D">
              <w:rPr>
                <w:sz w:val="22"/>
                <w:szCs w:val="22"/>
              </w:rPr>
              <w:t>Centar za informisanje i priznavanje dokumenata iz oblasti visokog obrazovanja BiH</w:t>
            </w:r>
          </w:p>
        </w:tc>
        <w:tc>
          <w:tcPr>
            <w:tcW w:w="1276" w:type="dxa"/>
            <w:shd w:val="clear" w:color="auto" w:fill="auto"/>
            <w:noWrap/>
            <w:vAlign w:val="center"/>
          </w:tcPr>
          <w:p w14:paraId="6F388443" w14:textId="77777777" w:rsidR="00F53AB2" w:rsidRPr="005D7C3D" w:rsidRDefault="00F53AB2" w:rsidP="003C3DAA">
            <w:pPr>
              <w:jc w:val="center"/>
              <w:rPr>
                <w:sz w:val="22"/>
                <w:szCs w:val="22"/>
              </w:rPr>
            </w:pPr>
            <w:r w:rsidRPr="005D7C3D">
              <w:rPr>
                <w:sz w:val="22"/>
                <w:szCs w:val="22"/>
              </w:rPr>
              <w:t>32/38</w:t>
            </w:r>
          </w:p>
        </w:tc>
        <w:tc>
          <w:tcPr>
            <w:tcW w:w="1468" w:type="dxa"/>
            <w:shd w:val="clear" w:color="auto" w:fill="auto"/>
            <w:noWrap/>
            <w:vAlign w:val="center"/>
          </w:tcPr>
          <w:p w14:paraId="6636F879" w14:textId="77777777" w:rsidR="00F53AB2" w:rsidRPr="005D7C3D" w:rsidRDefault="00F53AB2" w:rsidP="003C3DAA">
            <w:pPr>
              <w:jc w:val="right"/>
              <w:rPr>
                <w:sz w:val="22"/>
                <w:szCs w:val="22"/>
              </w:rPr>
            </w:pPr>
            <w:r w:rsidRPr="005D7C3D">
              <w:rPr>
                <w:sz w:val="22"/>
                <w:szCs w:val="22"/>
              </w:rPr>
              <w:t>84,21%</w:t>
            </w:r>
          </w:p>
        </w:tc>
      </w:tr>
      <w:tr w:rsidR="00F53AB2" w:rsidRPr="006739B2" w14:paraId="65BED6E2" w14:textId="77777777" w:rsidTr="003C3DAA">
        <w:trPr>
          <w:trHeight w:val="290"/>
        </w:trPr>
        <w:tc>
          <w:tcPr>
            <w:tcW w:w="851" w:type="dxa"/>
            <w:shd w:val="clear" w:color="auto" w:fill="auto"/>
            <w:noWrap/>
          </w:tcPr>
          <w:p w14:paraId="6D62459B" w14:textId="77777777" w:rsidR="00F53AB2" w:rsidRPr="005D7C3D" w:rsidRDefault="00F53AB2" w:rsidP="003C3DAA">
            <w:pPr>
              <w:jc w:val="center"/>
              <w:rPr>
                <w:sz w:val="22"/>
                <w:szCs w:val="22"/>
              </w:rPr>
            </w:pPr>
            <w:r w:rsidRPr="005D7C3D">
              <w:rPr>
                <w:sz w:val="22"/>
                <w:szCs w:val="22"/>
              </w:rPr>
              <w:t>43.</w:t>
            </w:r>
          </w:p>
        </w:tc>
        <w:tc>
          <w:tcPr>
            <w:tcW w:w="6095" w:type="dxa"/>
            <w:shd w:val="clear" w:color="auto" w:fill="auto"/>
            <w:noWrap/>
            <w:vAlign w:val="center"/>
          </w:tcPr>
          <w:p w14:paraId="6E153FAB" w14:textId="77777777" w:rsidR="00F53AB2" w:rsidRPr="005D7C3D" w:rsidRDefault="00F53AB2" w:rsidP="003C3DAA">
            <w:pPr>
              <w:rPr>
                <w:sz w:val="22"/>
                <w:szCs w:val="22"/>
              </w:rPr>
            </w:pPr>
            <w:r w:rsidRPr="005D7C3D">
              <w:rPr>
                <w:sz w:val="22"/>
                <w:szCs w:val="22"/>
              </w:rPr>
              <w:t>Ministarstvo civilnih poslova BiH</w:t>
            </w:r>
          </w:p>
        </w:tc>
        <w:tc>
          <w:tcPr>
            <w:tcW w:w="1276" w:type="dxa"/>
            <w:shd w:val="clear" w:color="auto" w:fill="auto"/>
            <w:noWrap/>
            <w:vAlign w:val="center"/>
          </w:tcPr>
          <w:p w14:paraId="403886C5" w14:textId="77777777" w:rsidR="00F53AB2" w:rsidRPr="005D7C3D" w:rsidRDefault="00F53AB2" w:rsidP="003C3DAA">
            <w:pPr>
              <w:jc w:val="center"/>
              <w:rPr>
                <w:sz w:val="22"/>
                <w:szCs w:val="22"/>
              </w:rPr>
            </w:pPr>
            <w:r w:rsidRPr="005D7C3D">
              <w:rPr>
                <w:sz w:val="22"/>
                <w:szCs w:val="22"/>
              </w:rPr>
              <w:t>32/38</w:t>
            </w:r>
          </w:p>
        </w:tc>
        <w:tc>
          <w:tcPr>
            <w:tcW w:w="1468" w:type="dxa"/>
            <w:shd w:val="clear" w:color="auto" w:fill="auto"/>
            <w:noWrap/>
            <w:vAlign w:val="center"/>
          </w:tcPr>
          <w:p w14:paraId="539712F3" w14:textId="77777777" w:rsidR="00F53AB2" w:rsidRPr="005D7C3D" w:rsidRDefault="00F53AB2" w:rsidP="003C3DAA">
            <w:pPr>
              <w:jc w:val="right"/>
              <w:rPr>
                <w:sz w:val="22"/>
                <w:szCs w:val="22"/>
              </w:rPr>
            </w:pPr>
            <w:r w:rsidRPr="005D7C3D">
              <w:rPr>
                <w:sz w:val="22"/>
                <w:szCs w:val="22"/>
              </w:rPr>
              <w:t>84,21%</w:t>
            </w:r>
          </w:p>
        </w:tc>
      </w:tr>
      <w:tr w:rsidR="00F53AB2" w:rsidRPr="006739B2" w14:paraId="7B7F62D4" w14:textId="77777777" w:rsidTr="003C3DAA">
        <w:trPr>
          <w:trHeight w:val="290"/>
        </w:trPr>
        <w:tc>
          <w:tcPr>
            <w:tcW w:w="851" w:type="dxa"/>
            <w:shd w:val="clear" w:color="auto" w:fill="auto"/>
            <w:noWrap/>
          </w:tcPr>
          <w:p w14:paraId="65467770" w14:textId="77777777" w:rsidR="00F53AB2" w:rsidRPr="005D7C3D" w:rsidRDefault="00F53AB2" w:rsidP="003C3DAA">
            <w:pPr>
              <w:jc w:val="center"/>
              <w:rPr>
                <w:sz w:val="22"/>
                <w:szCs w:val="22"/>
              </w:rPr>
            </w:pPr>
            <w:r w:rsidRPr="005D7C3D">
              <w:rPr>
                <w:sz w:val="22"/>
                <w:szCs w:val="22"/>
              </w:rPr>
              <w:t>44.</w:t>
            </w:r>
          </w:p>
        </w:tc>
        <w:tc>
          <w:tcPr>
            <w:tcW w:w="6095" w:type="dxa"/>
            <w:shd w:val="clear" w:color="auto" w:fill="auto"/>
            <w:noWrap/>
            <w:vAlign w:val="center"/>
          </w:tcPr>
          <w:p w14:paraId="5B60EDA2" w14:textId="77777777" w:rsidR="00F53AB2" w:rsidRPr="005D7C3D" w:rsidRDefault="00F53AB2" w:rsidP="003C3DAA">
            <w:pPr>
              <w:rPr>
                <w:sz w:val="22"/>
                <w:szCs w:val="22"/>
              </w:rPr>
            </w:pPr>
            <w:r w:rsidRPr="005D7C3D">
              <w:rPr>
                <w:sz w:val="22"/>
                <w:szCs w:val="22"/>
              </w:rPr>
              <w:t>Ministarstvo finansija i trezora BiH</w:t>
            </w:r>
          </w:p>
        </w:tc>
        <w:tc>
          <w:tcPr>
            <w:tcW w:w="1276" w:type="dxa"/>
            <w:shd w:val="clear" w:color="auto" w:fill="auto"/>
            <w:noWrap/>
            <w:vAlign w:val="center"/>
          </w:tcPr>
          <w:p w14:paraId="308959E9" w14:textId="77777777" w:rsidR="00F53AB2" w:rsidRPr="005D7C3D" w:rsidRDefault="00F53AB2" w:rsidP="003C3DAA">
            <w:pPr>
              <w:jc w:val="center"/>
              <w:rPr>
                <w:sz w:val="22"/>
                <w:szCs w:val="22"/>
              </w:rPr>
            </w:pPr>
            <w:r w:rsidRPr="005D7C3D">
              <w:rPr>
                <w:sz w:val="22"/>
                <w:szCs w:val="22"/>
              </w:rPr>
              <w:t>32/38</w:t>
            </w:r>
          </w:p>
        </w:tc>
        <w:tc>
          <w:tcPr>
            <w:tcW w:w="1468" w:type="dxa"/>
            <w:shd w:val="clear" w:color="auto" w:fill="auto"/>
            <w:noWrap/>
            <w:vAlign w:val="center"/>
          </w:tcPr>
          <w:p w14:paraId="204B155D" w14:textId="77777777" w:rsidR="00F53AB2" w:rsidRPr="005D7C3D" w:rsidRDefault="00F53AB2" w:rsidP="003C3DAA">
            <w:pPr>
              <w:jc w:val="right"/>
              <w:rPr>
                <w:sz w:val="22"/>
                <w:szCs w:val="22"/>
              </w:rPr>
            </w:pPr>
            <w:r w:rsidRPr="005D7C3D">
              <w:rPr>
                <w:sz w:val="22"/>
                <w:szCs w:val="22"/>
              </w:rPr>
              <w:t>84,21%</w:t>
            </w:r>
          </w:p>
        </w:tc>
      </w:tr>
      <w:tr w:rsidR="00F53AB2" w:rsidRPr="006739B2" w14:paraId="7A6C9D43" w14:textId="77777777" w:rsidTr="003C3DAA">
        <w:trPr>
          <w:trHeight w:val="290"/>
        </w:trPr>
        <w:tc>
          <w:tcPr>
            <w:tcW w:w="851" w:type="dxa"/>
            <w:shd w:val="clear" w:color="auto" w:fill="auto"/>
            <w:noWrap/>
          </w:tcPr>
          <w:p w14:paraId="60FF5B3F" w14:textId="77777777" w:rsidR="00F53AB2" w:rsidRPr="005D7C3D" w:rsidRDefault="00F53AB2" w:rsidP="003C3DAA">
            <w:pPr>
              <w:jc w:val="center"/>
              <w:rPr>
                <w:sz w:val="22"/>
                <w:szCs w:val="22"/>
              </w:rPr>
            </w:pPr>
            <w:r w:rsidRPr="005D7C3D">
              <w:rPr>
                <w:sz w:val="22"/>
                <w:szCs w:val="22"/>
              </w:rPr>
              <w:t>45.</w:t>
            </w:r>
          </w:p>
        </w:tc>
        <w:tc>
          <w:tcPr>
            <w:tcW w:w="6095" w:type="dxa"/>
            <w:shd w:val="clear" w:color="auto" w:fill="auto"/>
            <w:noWrap/>
            <w:vAlign w:val="center"/>
          </w:tcPr>
          <w:p w14:paraId="3F5C6005" w14:textId="77777777" w:rsidR="00F53AB2" w:rsidRPr="005D7C3D" w:rsidRDefault="00F53AB2" w:rsidP="003C3DAA">
            <w:pPr>
              <w:rPr>
                <w:sz w:val="22"/>
                <w:szCs w:val="22"/>
              </w:rPr>
            </w:pPr>
            <w:r w:rsidRPr="005D7C3D">
              <w:rPr>
                <w:sz w:val="22"/>
                <w:szCs w:val="22"/>
              </w:rPr>
              <w:t>Centralna harmonizacijska jedinica Ministarstva finansija i trezora BiH</w:t>
            </w:r>
          </w:p>
        </w:tc>
        <w:tc>
          <w:tcPr>
            <w:tcW w:w="1276" w:type="dxa"/>
            <w:shd w:val="clear" w:color="auto" w:fill="auto"/>
            <w:noWrap/>
            <w:vAlign w:val="center"/>
          </w:tcPr>
          <w:p w14:paraId="55DC7B61" w14:textId="77777777" w:rsidR="00F53AB2" w:rsidRPr="005D7C3D" w:rsidRDefault="00F53AB2" w:rsidP="003C3DAA">
            <w:pPr>
              <w:jc w:val="center"/>
              <w:rPr>
                <w:sz w:val="22"/>
                <w:szCs w:val="22"/>
              </w:rPr>
            </w:pPr>
            <w:r w:rsidRPr="005D7C3D">
              <w:rPr>
                <w:sz w:val="22"/>
                <w:szCs w:val="22"/>
              </w:rPr>
              <w:t>33/38</w:t>
            </w:r>
          </w:p>
        </w:tc>
        <w:tc>
          <w:tcPr>
            <w:tcW w:w="1468" w:type="dxa"/>
            <w:shd w:val="clear" w:color="auto" w:fill="auto"/>
            <w:noWrap/>
            <w:vAlign w:val="center"/>
          </w:tcPr>
          <w:p w14:paraId="067610BC" w14:textId="77777777" w:rsidR="00F53AB2" w:rsidRPr="005D7C3D" w:rsidRDefault="00F53AB2" w:rsidP="003C3DAA">
            <w:pPr>
              <w:jc w:val="right"/>
              <w:rPr>
                <w:sz w:val="22"/>
                <w:szCs w:val="22"/>
              </w:rPr>
            </w:pPr>
            <w:r w:rsidRPr="005D7C3D">
              <w:rPr>
                <w:sz w:val="22"/>
                <w:szCs w:val="22"/>
              </w:rPr>
              <w:t>86,84%</w:t>
            </w:r>
          </w:p>
        </w:tc>
      </w:tr>
      <w:tr w:rsidR="00F53AB2" w:rsidRPr="006739B2" w14:paraId="6C45D99E" w14:textId="77777777" w:rsidTr="003C3DAA">
        <w:trPr>
          <w:trHeight w:val="290"/>
        </w:trPr>
        <w:tc>
          <w:tcPr>
            <w:tcW w:w="851" w:type="dxa"/>
            <w:shd w:val="clear" w:color="auto" w:fill="auto"/>
            <w:noWrap/>
          </w:tcPr>
          <w:p w14:paraId="33DA108C" w14:textId="77777777" w:rsidR="00F53AB2" w:rsidRPr="005D7C3D" w:rsidRDefault="00F53AB2" w:rsidP="003C3DAA">
            <w:pPr>
              <w:jc w:val="center"/>
              <w:rPr>
                <w:sz w:val="22"/>
                <w:szCs w:val="22"/>
              </w:rPr>
            </w:pPr>
            <w:r w:rsidRPr="005D7C3D">
              <w:rPr>
                <w:sz w:val="22"/>
                <w:szCs w:val="22"/>
              </w:rPr>
              <w:t>46.</w:t>
            </w:r>
          </w:p>
        </w:tc>
        <w:tc>
          <w:tcPr>
            <w:tcW w:w="6095" w:type="dxa"/>
            <w:shd w:val="clear" w:color="auto" w:fill="auto"/>
            <w:noWrap/>
            <w:vAlign w:val="center"/>
          </w:tcPr>
          <w:p w14:paraId="4FB9926A" w14:textId="77777777" w:rsidR="00F53AB2" w:rsidRPr="005D7C3D" w:rsidRDefault="00F53AB2" w:rsidP="003C3DAA">
            <w:pPr>
              <w:rPr>
                <w:sz w:val="22"/>
                <w:szCs w:val="22"/>
              </w:rPr>
            </w:pPr>
            <w:r w:rsidRPr="005D7C3D">
              <w:rPr>
                <w:sz w:val="22"/>
                <w:szCs w:val="22"/>
              </w:rPr>
              <w:t>Direkcija za civilno zrakoplovstvo BiH</w:t>
            </w:r>
          </w:p>
        </w:tc>
        <w:tc>
          <w:tcPr>
            <w:tcW w:w="1276" w:type="dxa"/>
            <w:shd w:val="clear" w:color="auto" w:fill="auto"/>
            <w:noWrap/>
            <w:vAlign w:val="center"/>
          </w:tcPr>
          <w:p w14:paraId="1D32D842" w14:textId="77777777" w:rsidR="00F53AB2" w:rsidRPr="005D7C3D" w:rsidRDefault="00F53AB2" w:rsidP="003C3DAA">
            <w:pPr>
              <w:jc w:val="center"/>
              <w:rPr>
                <w:sz w:val="22"/>
                <w:szCs w:val="22"/>
              </w:rPr>
            </w:pPr>
            <w:r w:rsidRPr="005D7C3D">
              <w:rPr>
                <w:sz w:val="22"/>
                <w:szCs w:val="22"/>
              </w:rPr>
              <w:t>33/38</w:t>
            </w:r>
          </w:p>
        </w:tc>
        <w:tc>
          <w:tcPr>
            <w:tcW w:w="1468" w:type="dxa"/>
            <w:shd w:val="clear" w:color="auto" w:fill="auto"/>
            <w:noWrap/>
            <w:vAlign w:val="center"/>
          </w:tcPr>
          <w:p w14:paraId="429F1718" w14:textId="77777777" w:rsidR="00F53AB2" w:rsidRPr="005D7C3D" w:rsidRDefault="00F53AB2" w:rsidP="003C3DAA">
            <w:pPr>
              <w:jc w:val="right"/>
              <w:rPr>
                <w:sz w:val="22"/>
                <w:szCs w:val="22"/>
              </w:rPr>
            </w:pPr>
            <w:r w:rsidRPr="005D7C3D">
              <w:rPr>
                <w:sz w:val="22"/>
                <w:szCs w:val="22"/>
              </w:rPr>
              <w:t>86,84%</w:t>
            </w:r>
          </w:p>
        </w:tc>
      </w:tr>
      <w:tr w:rsidR="00F53AB2" w:rsidRPr="006739B2" w14:paraId="6EBEAA87" w14:textId="77777777" w:rsidTr="003C3DAA">
        <w:trPr>
          <w:trHeight w:val="290"/>
        </w:trPr>
        <w:tc>
          <w:tcPr>
            <w:tcW w:w="851" w:type="dxa"/>
            <w:shd w:val="clear" w:color="auto" w:fill="auto"/>
            <w:noWrap/>
          </w:tcPr>
          <w:p w14:paraId="4EBA83CD" w14:textId="77777777" w:rsidR="00F53AB2" w:rsidRPr="005D7C3D" w:rsidRDefault="00F53AB2" w:rsidP="003C3DAA">
            <w:pPr>
              <w:jc w:val="center"/>
              <w:rPr>
                <w:sz w:val="22"/>
                <w:szCs w:val="22"/>
              </w:rPr>
            </w:pPr>
            <w:r w:rsidRPr="005D7C3D">
              <w:rPr>
                <w:sz w:val="22"/>
                <w:szCs w:val="22"/>
              </w:rPr>
              <w:t>47.</w:t>
            </w:r>
          </w:p>
        </w:tc>
        <w:tc>
          <w:tcPr>
            <w:tcW w:w="6095" w:type="dxa"/>
            <w:shd w:val="clear" w:color="auto" w:fill="auto"/>
            <w:noWrap/>
            <w:vAlign w:val="center"/>
          </w:tcPr>
          <w:p w14:paraId="645F1D9F" w14:textId="77777777" w:rsidR="00F53AB2" w:rsidRPr="005D7C3D" w:rsidRDefault="00F53AB2" w:rsidP="003C3DAA">
            <w:pPr>
              <w:rPr>
                <w:sz w:val="22"/>
                <w:szCs w:val="22"/>
              </w:rPr>
            </w:pPr>
            <w:r w:rsidRPr="005D7C3D">
              <w:rPr>
                <w:sz w:val="22"/>
                <w:szCs w:val="22"/>
              </w:rPr>
              <w:t>Institut za intelektualno vlasništvo BiH</w:t>
            </w:r>
          </w:p>
        </w:tc>
        <w:tc>
          <w:tcPr>
            <w:tcW w:w="1276" w:type="dxa"/>
            <w:shd w:val="clear" w:color="auto" w:fill="auto"/>
            <w:noWrap/>
            <w:vAlign w:val="center"/>
          </w:tcPr>
          <w:p w14:paraId="300047E9" w14:textId="77777777" w:rsidR="00F53AB2" w:rsidRPr="005D7C3D" w:rsidRDefault="00F53AB2" w:rsidP="003C3DAA">
            <w:pPr>
              <w:jc w:val="center"/>
              <w:rPr>
                <w:sz w:val="22"/>
                <w:szCs w:val="22"/>
              </w:rPr>
            </w:pPr>
            <w:r w:rsidRPr="005D7C3D">
              <w:rPr>
                <w:sz w:val="22"/>
                <w:szCs w:val="22"/>
              </w:rPr>
              <w:t>33/38</w:t>
            </w:r>
          </w:p>
        </w:tc>
        <w:tc>
          <w:tcPr>
            <w:tcW w:w="1468" w:type="dxa"/>
            <w:shd w:val="clear" w:color="auto" w:fill="auto"/>
            <w:noWrap/>
            <w:vAlign w:val="center"/>
          </w:tcPr>
          <w:p w14:paraId="15D385BF" w14:textId="77777777" w:rsidR="00F53AB2" w:rsidRPr="005D7C3D" w:rsidRDefault="00F53AB2" w:rsidP="003C3DAA">
            <w:pPr>
              <w:jc w:val="right"/>
              <w:rPr>
                <w:sz w:val="22"/>
                <w:szCs w:val="22"/>
              </w:rPr>
            </w:pPr>
            <w:r w:rsidRPr="005D7C3D">
              <w:rPr>
                <w:sz w:val="22"/>
                <w:szCs w:val="22"/>
              </w:rPr>
              <w:t>86,84%</w:t>
            </w:r>
          </w:p>
        </w:tc>
      </w:tr>
      <w:tr w:rsidR="00F53AB2" w:rsidRPr="006739B2" w14:paraId="10454739" w14:textId="77777777" w:rsidTr="003C3DAA">
        <w:trPr>
          <w:trHeight w:val="290"/>
        </w:trPr>
        <w:tc>
          <w:tcPr>
            <w:tcW w:w="851" w:type="dxa"/>
            <w:shd w:val="clear" w:color="auto" w:fill="auto"/>
            <w:noWrap/>
          </w:tcPr>
          <w:p w14:paraId="23A0FB73" w14:textId="77777777" w:rsidR="00F53AB2" w:rsidRPr="005D7C3D" w:rsidRDefault="00F53AB2" w:rsidP="003C3DAA">
            <w:pPr>
              <w:jc w:val="center"/>
              <w:rPr>
                <w:sz w:val="22"/>
                <w:szCs w:val="22"/>
              </w:rPr>
            </w:pPr>
            <w:r w:rsidRPr="005D7C3D">
              <w:rPr>
                <w:sz w:val="22"/>
                <w:szCs w:val="22"/>
              </w:rPr>
              <w:t>48.</w:t>
            </w:r>
          </w:p>
        </w:tc>
        <w:tc>
          <w:tcPr>
            <w:tcW w:w="6095" w:type="dxa"/>
            <w:shd w:val="clear" w:color="auto" w:fill="auto"/>
            <w:noWrap/>
            <w:vAlign w:val="center"/>
          </w:tcPr>
          <w:p w14:paraId="71DB2EBC" w14:textId="77777777" w:rsidR="00F53AB2" w:rsidRPr="005D7C3D" w:rsidRDefault="00F53AB2" w:rsidP="003C3DAA">
            <w:pPr>
              <w:rPr>
                <w:sz w:val="22"/>
                <w:szCs w:val="22"/>
              </w:rPr>
            </w:pPr>
            <w:r w:rsidRPr="005D7C3D">
              <w:rPr>
                <w:sz w:val="22"/>
                <w:szCs w:val="22"/>
              </w:rPr>
              <w:t>Ministarstvo komunikacija i prometa BiH</w:t>
            </w:r>
          </w:p>
        </w:tc>
        <w:tc>
          <w:tcPr>
            <w:tcW w:w="1276" w:type="dxa"/>
            <w:shd w:val="clear" w:color="auto" w:fill="auto"/>
            <w:noWrap/>
            <w:vAlign w:val="center"/>
          </w:tcPr>
          <w:p w14:paraId="009CD8D6" w14:textId="77777777" w:rsidR="00F53AB2" w:rsidRPr="005D7C3D" w:rsidRDefault="00F53AB2" w:rsidP="003C3DAA">
            <w:pPr>
              <w:jc w:val="center"/>
              <w:rPr>
                <w:sz w:val="22"/>
                <w:szCs w:val="22"/>
              </w:rPr>
            </w:pPr>
            <w:r w:rsidRPr="005D7C3D">
              <w:rPr>
                <w:sz w:val="22"/>
                <w:szCs w:val="22"/>
              </w:rPr>
              <w:t>33/38</w:t>
            </w:r>
          </w:p>
        </w:tc>
        <w:tc>
          <w:tcPr>
            <w:tcW w:w="1468" w:type="dxa"/>
            <w:shd w:val="clear" w:color="auto" w:fill="auto"/>
            <w:noWrap/>
            <w:vAlign w:val="center"/>
          </w:tcPr>
          <w:p w14:paraId="1C374B02" w14:textId="77777777" w:rsidR="00F53AB2" w:rsidRPr="005D7C3D" w:rsidRDefault="00F53AB2" w:rsidP="003C3DAA">
            <w:pPr>
              <w:jc w:val="right"/>
              <w:rPr>
                <w:sz w:val="22"/>
                <w:szCs w:val="22"/>
              </w:rPr>
            </w:pPr>
            <w:r w:rsidRPr="005D7C3D">
              <w:rPr>
                <w:sz w:val="22"/>
                <w:szCs w:val="22"/>
              </w:rPr>
              <w:t>86,84%</w:t>
            </w:r>
          </w:p>
        </w:tc>
      </w:tr>
      <w:tr w:rsidR="00F53AB2" w:rsidRPr="006739B2" w14:paraId="764598CA" w14:textId="77777777" w:rsidTr="003C3DAA">
        <w:trPr>
          <w:trHeight w:val="290"/>
        </w:trPr>
        <w:tc>
          <w:tcPr>
            <w:tcW w:w="851" w:type="dxa"/>
            <w:shd w:val="clear" w:color="auto" w:fill="auto"/>
            <w:noWrap/>
          </w:tcPr>
          <w:p w14:paraId="4CCA1D3A" w14:textId="77777777" w:rsidR="00F53AB2" w:rsidRPr="005D7C3D" w:rsidRDefault="00F53AB2" w:rsidP="003C3DAA">
            <w:pPr>
              <w:jc w:val="center"/>
              <w:rPr>
                <w:sz w:val="22"/>
                <w:szCs w:val="22"/>
              </w:rPr>
            </w:pPr>
            <w:r w:rsidRPr="005D7C3D">
              <w:rPr>
                <w:sz w:val="22"/>
                <w:szCs w:val="22"/>
              </w:rPr>
              <w:t>49.</w:t>
            </w:r>
          </w:p>
        </w:tc>
        <w:tc>
          <w:tcPr>
            <w:tcW w:w="6095" w:type="dxa"/>
            <w:shd w:val="clear" w:color="auto" w:fill="auto"/>
            <w:noWrap/>
            <w:vAlign w:val="center"/>
          </w:tcPr>
          <w:p w14:paraId="00D00F28" w14:textId="77777777" w:rsidR="00F53AB2" w:rsidRPr="005D7C3D" w:rsidRDefault="00F53AB2" w:rsidP="003C3DAA">
            <w:pPr>
              <w:rPr>
                <w:sz w:val="22"/>
                <w:szCs w:val="22"/>
              </w:rPr>
            </w:pPr>
            <w:r w:rsidRPr="005D7C3D">
              <w:rPr>
                <w:sz w:val="22"/>
                <w:szCs w:val="22"/>
              </w:rPr>
              <w:t>Agencija za predškolsko, osnovno i srednje obrazovanje</w:t>
            </w:r>
          </w:p>
        </w:tc>
        <w:tc>
          <w:tcPr>
            <w:tcW w:w="1276" w:type="dxa"/>
            <w:shd w:val="clear" w:color="auto" w:fill="auto"/>
            <w:noWrap/>
            <w:vAlign w:val="center"/>
          </w:tcPr>
          <w:p w14:paraId="48E21B7E" w14:textId="77777777" w:rsidR="00F53AB2" w:rsidRPr="005D7C3D" w:rsidRDefault="00F53AB2" w:rsidP="003C3DAA">
            <w:pPr>
              <w:jc w:val="center"/>
              <w:rPr>
                <w:sz w:val="22"/>
                <w:szCs w:val="22"/>
              </w:rPr>
            </w:pPr>
            <w:r w:rsidRPr="005D7C3D">
              <w:rPr>
                <w:sz w:val="22"/>
                <w:szCs w:val="22"/>
              </w:rPr>
              <w:t>34/38</w:t>
            </w:r>
          </w:p>
        </w:tc>
        <w:tc>
          <w:tcPr>
            <w:tcW w:w="1468" w:type="dxa"/>
            <w:shd w:val="clear" w:color="auto" w:fill="auto"/>
            <w:noWrap/>
            <w:vAlign w:val="center"/>
          </w:tcPr>
          <w:p w14:paraId="25457FD3" w14:textId="77777777" w:rsidR="00F53AB2" w:rsidRPr="005D7C3D" w:rsidRDefault="00F53AB2" w:rsidP="003C3DAA">
            <w:pPr>
              <w:jc w:val="right"/>
              <w:rPr>
                <w:sz w:val="22"/>
                <w:szCs w:val="22"/>
              </w:rPr>
            </w:pPr>
            <w:r w:rsidRPr="005D7C3D">
              <w:rPr>
                <w:sz w:val="22"/>
                <w:szCs w:val="22"/>
              </w:rPr>
              <w:t>89,47%</w:t>
            </w:r>
          </w:p>
        </w:tc>
      </w:tr>
      <w:tr w:rsidR="00F53AB2" w:rsidRPr="006739B2" w14:paraId="7FD8A86C" w14:textId="77777777" w:rsidTr="003C3DAA">
        <w:trPr>
          <w:trHeight w:val="290"/>
        </w:trPr>
        <w:tc>
          <w:tcPr>
            <w:tcW w:w="851" w:type="dxa"/>
            <w:shd w:val="clear" w:color="auto" w:fill="auto"/>
            <w:noWrap/>
          </w:tcPr>
          <w:p w14:paraId="67038719" w14:textId="77777777" w:rsidR="00F53AB2" w:rsidRPr="005D7C3D" w:rsidRDefault="00F53AB2" w:rsidP="003C3DAA">
            <w:pPr>
              <w:jc w:val="center"/>
              <w:rPr>
                <w:sz w:val="22"/>
                <w:szCs w:val="22"/>
              </w:rPr>
            </w:pPr>
            <w:r w:rsidRPr="005D7C3D">
              <w:rPr>
                <w:sz w:val="22"/>
                <w:szCs w:val="22"/>
              </w:rPr>
              <w:t>50.</w:t>
            </w:r>
          </w:p>
        </w:tc>
        <w:tc>
          <w:tcPr>
            <w:tcW w:w="6095" w:type="dxa"/>
            <w:shd w:val="clear" w:color="auto" w:fill="auto"/>
            <w:noWrap/>
            <w:vAlign w:val="center"/>
          </w:tcPr>
          <w:p w14:paraId="0D62C4E5" w14:textId="77777777" w:rsidR="00F53AB2" w:rsidRPr="005D7C3D" w:rsidRDefault="00F53AB2" w:rsidP="003C3DAA">
            <w:pPr>
              <w:rPr>
                <w:sz w:val="22"/>
                <w:szCs w:val="22"/>
              </w:rPr>
            </w:pPr>
            <w:r w:rsidRPr="005D7C3D">
              <w:rPr>
                <w:sz w:val="22"/>
                <w:szCs w:val="22"/>
              </w:rPr>
              <w:t>Agencija za rad i zapošljavanje BiH</w:t>
            </w:r>
          </w:p>
        </w:tc>
        <w:tc>
          <w:tcPr>
            <w:tcW w:w="1276" w:type="dxa"/>
            <w:shd w:val="clear" w:color="auto" w:fill="auto"/>
            <w:noWrap/>
            <w:vAlign w:val="center"/>
          </w:tcPr>
          <w:p w14:paraId="21282D81" w14:textId="77777777" w:rsidR="00F53AB2" w:rsidRPr="005D7C3D" w:rsidRDefault="00F53AB2" w:rsidP="003C3DAA">
            <w:pPr>
              <w:jc w:val="center"/>
              <w:rPr>
                <w:sz w:val="22"/>
                <w:szCs w:val="22"/>
              </w:rPr>
            </w:pPr>
            <w:r w:rsidRPr="005D7C3D">
              <w:rPr>
                <w:sz w:val="22"/>
                <w:szCs w:val="22"/>
              </w:rPr>
              <w:t>34/38</w:t>
            </w:r>
          </w:p>
        </w:tc>
        <w:tc>
          <w:tcPr>
            <w:tcW w:w="1468" w:type="dxa"/>
            <w:shd w:val="clear" w:color="auto" w:fill="auto"/>
            <w:noWrap/>
            <w:vAlign w:val="center"/>
          </w:tcPr>
          <w:p w14:paraId="1D667D11" w14:textId="77777777" w:rsidR="00F53AB2" w:rsidRPr="005D7C3D" w:rsidRDefault="00F53AB2" w:rsidP="003C3DAA">
            <w:pPr>
              <w:jc w:val="right"/>
              <w:rPr>
                <w:sz w:val="22"/>
                <w:szCs w:val="22"/>
              </w:rPr>
            </w:pPr>
            <w:r w:rsidRPr="005D7C3D">
              <w:rPr>
                <w:sz w:val="22"/>
                <w:szCs w:val="22"/>
              </w:rPr>
              <w:t>89,47%</w:t>
            </w:r>
          </w:p>
        </w:tc>
      </w:tr>
      <w:tr w:rsidR="00F53AB2" w:rsidRPr="006739B2" w14:paraId="076C02D7" w14:textId="77777777" w:rsidTr="003C3DAA">
        <w:trPr>
          <w:trHeight w:val="290"/>
        </w:trPr>
        <w:tc>
          <w:tcPr>
            <w:tcW w:w="851" w:type="dxa"/>
            <w:shd w:val="clear" w:color="auto" w:fill="auto"/>
            <w:noWrap/>
          </w:tcPr>
          <w:p w14:paraId="35C240BB" w14:textId="77777777" w:rsidR="00F53AB2" w:rsidRPr="005D7C3D" w:rsidRDefault="00F53AB2" w:rsidP="003C3DAA">
            <w:pPr>
              <w:jc w:val="center"/>
              <w:rPr>
                <w:sz w:val="22"/>
                <w:szCs w:val="22"/>
              </w:rPr>
            </w:pPr>
            <w:r w:rsidRPr="005D7C3D">
              <w:rPr>
                <w:sz w:val="22"/>
                <w:szCs w:val="22"/>
              </w:rPr>
              <w:t>51.</w:t>
            </w:r>
          </w:p>
        </w:tc>
        <w:tc>
          <w:tcPr>
            <w:tcW w:w="6095" w:type="dxa"/>
            <w:shd w:val="clear" w:color="auto" w:fill="auto"/>
            <w:noWrap/>
            <w:vAlign w:val="center"/>
          </w:tcPr>
          <w:p w14:paraId="783A0565" w14:textId="77777777" w:rsidR="00F53AB2" w:rsidRPr="005D7C3D" w:rsidRDefault="00F53AB2" w:rsidP="003C3DAA">
            <w:pPr>
              <w:rPr>
                <w:sz w:val="22"/>
                <w:szCs w:val="22"/>
              </w:rPr>
            </w:pPr>
            <w:r w:rsidRPr="005D7C3D">
              <w:rPr>
                <w:sz w:val="22"/>
                <w:szCs w:val="22"/>
              </w:rPr>
              <w:t>Agencija za zaštitu ličnih podataka BiH</w:t>
            </w:r>
          </w:p>
        </w:tc>
        <w:tc>
          <w:tcPr>
            <w:tcW w:w="1276" w:type="dxa"/>
            <w:shd w:val="clear" w:color="auto" w:fill="auto"/>
            <w:noWrap/>
            <w:vAlign w:val="center"/>
          </w:tcPr>
          <w:p w14:paraId="64EDEE1F" w14:textId="77777777" w:rsidR="00F53AB2" w:rsidRPr="005D7C3D" w:rsidRDefault="00F53AB2" w:rsidP="003C3DAA">
            <w:pPr>
              <w:jc w:val="center"/>
              <w:rPr>
                <w:sz w:val="22"/>
                <w:szCs w:val="22"/>
              </w:rPr>
            </w:pPr>
            <w:r w:rsidRPr="005D7C3D">
              <w:rPr>
                <w:sz w:val="22"/>
                <w:szCs w:val="22"/>
              </w:rPr>
              <w:t>34/38</w:t>
            </w:r>
          </w:p>
        </w:tc>
        <w:tc>
          <w:tcPr>
            <w:tcW w:w="1468" w:type="dxa"/>
            <w:shd w:val="clear" w:color="auto" w:fill="auto"/>
            <w:noWrap/>
            <w:vAlign w:val="center"/>
          </w:tcPr>
          <w:p w14:paraId="16D513F9" w14:textId="77777777" w:rsidR="00F53AB2" w:rsidRPr="005D7C3D" w:rsidRDefault="00F53AB2" w:rsidP="003C3DAA">
            <w:pPr>
              <w:jc w:val="right"/>
              <w:rPr>
                <w:sz w:val="22"/>
                <w:szCs w:val="22"/>
              </w:rPr>
            </w:pPr>
            <w:r w:rsidRPr="005D7C3D">
              <w:rPr>
                <w:sz w:val="22"/>
                <w:szCs w:val="22"/>
              </w:rPr>
              <w:t>89,47%</w:t>
            </w:r>
          </w:p>
        </w:tc>
      </w:tr>
      <w:tr w:rsidR="00F53AB2" w:rsidRPr="006739B2" w14:paraId="11AB576D" w14:textId="77777777" w:rsidTr="003C3DAA">
        <w:trPr>
          <w:trHeight w:val="290"/>
        </w:trPr>
        <w:tc>
          <w:tcPr>
            <w:tcW w:w="851" w:type="dxa"/>
            <w:shd w:val="clear" w:color="auto" w:fill="auto"/>
            <w:noWrap/>
          </w:tcPr>
          <w:p w14:paraId="55B59B3D" w14:textId="77777777" w:rsidR="00F53AB2" w:rsidRPr="005D7C3D" w:rsidRDefault="00F53AB2" w:rsidP="003C3DAA">
            <w:pPr>
              <w:jc w:val="center"/>
              <w:rPr>
                <w:sz w:val="22"/>
                <w:szCs w:val="22"/>
              </w:rPr>
            </w:pPr>
            <w:r w:rsidRPr="005D7C3D">
              <w:rPr>
                <w:sz w:val="22"/>
                <w:szCs w:val="22"/>
              </w:rPr>
              <w:t>52.</w:t>
            </w:r>
          </w:p>
        </w:tc>
        <w:tc>
          <w:tcPr>
            <w:tcW w:w="6095" w:type="dxa"/>
            <w:shd w:val="clear" w:color="auto" w:fill="auto"/>
            <w:noWrap/>
            <w:vAlign w:val="center"/>
          </w:tcPr>
          <w:p w14:paraId="331168A6" w14:textId="77777777" w:rsidR="00F53AB2" w:rsidRPr="005D7C3D" w:rsidRDefault="00F53AB2" w:rsidP="003C3DAA">
            <w:pPr>
              <w:rPr>
                <w:sz w:val="22"/>
                <w:szCs w:val="22"/>
              </w:rPr>
            </w:pPr>
            <w:r w:rsidRPr="005D7C3D">
              <w:rPr>
                <w:sz w:val="22"/>
                <w:szCs w:val="22"/>
              </w:rPr>
              <w:t>Institut za mjeriteljstvo BiH</w:t>
            </w:r>
          </w:p>
        </w:tc>
        <w:tc>
          <w:tcPr>
            <w:tcW w:w="1276" w:type="dxa"/>
            <w:shd w:val="clear" w:color="auto" w:fill="auto"/>
            <w:noWrap/>
            <w:vAlign w:val="center"/>
          </w:tcPr>
          <w:p w14:paraId="3DE87AF3" w14:textId="77777777" w:rsidR="00F53AB2" w:rsidRPr="005D7C3D" w:rsidRDefault="00F53AB2" w:rsidP="003C3DAA">
            <w:pPr>
              <w:jc w:val="center"/>
              <w:rPr>
                <w:sz w:val="22"/>
                <w:szCs w:val="22"/>
              </w:rPr>
            </w:pPr>
            <w:r w:rsidRPr="005D7C3D">
              <w:rPr>
                <w:sz w:val="22"/>
                <w:szCs w:val="22"/>
              </w:rPr>
              <w:t>34/38</w:t>
            </w:r>
          </w:p>
        </w:tc>
        <w:tc>
          <w:tcPr>
            <w:tcW w:w="1468" w:type="dxa"/>
            <w:shd w:val="clear" w:color="auto" w:fill="auto"/>
            <w:noWrap/>
            <w:vAlign w:val="center"/>
          </w:tcPr>
          <w:p w14:paraId="1AC1A388" w14:textId="77777777" w:rsidR="00F53AB2" w:rsidRPr="005D7C3D" w:rsidRDefault="00F53AB2" w:rsidP="003C3DAA">
            <w:pPr>
              <w:jc w:val="right"/>
              <w:rPr>
                <w:sz w:val="22"/>
                <w:szCs w:val="22"/>
              </w:rPr>
            </w:pPr>
            <w:r w:rsidRPr="005D7C3D">
              <w:rPr>
                <w:sz w:val="22"/>
                <w:szCs w:val="22"/>
              </w:rPr>
              <w:t>89,47%</w:t>
            </w:r>
          </w:p>
        </w:tc>
      </w:tr>
      <w:tr w:rsidR="00F53AB2" w:rsidRPr="006739B2" w14:paraId="7611D6B6" w14:textId="77777777" w:rsidTr="003C3DAA">
        <w:trPr>
          <w:trHeight w:val="290"/>
        </w:trPr>
        <w:tc>
          <w:tcPr>
            <w:tcW w:w="851" w:type="dxa"/>
            <w:shd w:val="clear" w:color="auto" w:fill="auto"/>
            <w:noWrap/>
          </w:tcPr>
          <w:p w14:paraId="75459ADB" w14:textId="77777777" w:rsidR="00F53AB2" w:rsidRPr="005D7C3D" w:rsidRDefault="00F53AB2" w:rsidP="003C3DAA">
            <w:pPr>
              <w:jc w:val="center"/>
              <w:rPr>
                <w:sz w:val="22"/>
                <w:szCs w:val="22"/>
              </w:rPr>
            </w:pPr>
            <w:r w:rsidRPr="005D7C3D">
              <w:rPr>
                <w:sz w:val="22"/>
                <w:szCs w:val="22"/>
              </w:rPr>
              <w:t>53.</w:t>
            </w:r>
          </w:p>
        </w:tc>
        <w:tc>
          <w:tcPr>
            <w:tcW w:w="6095" w:type="dxa"/>
            <w:shd w:val="clear" w:color="auto" w:fill="auto"/>
            <w:noWrap/>
            <w:vAlign w:val="center"/>
          </w:tcPr>
          <w:p w14:paraId="0A52AE7C" w14:textId="77777777" w:rsidR="00F53AB2" w:rsidRPr="005D7C3D" w:rsidRDefault="00F53AB2" w:rsidP="003C3DAA">
            <w:pPr>
              <w:rPr>
                <w:sz w:val="22"/>
                <w:szCs w:val="22"/>
              </w:rPr>
            </w:pPr>
            <w:r w:rsidRPr="005D7C3D">
              <w:rPr>
                <w:sz w:val="22"/>
                <w:szCs w:val="22"/>
              </w:rPr>
              <w:t>Agencija za javne nabavke BiH</w:t>
            </w:r>
          </w:p>
        </w:tc>
        <w:tc>
          <w:tcPr>
            <w:tcW w:w="1276" w:type="dxa"/>
            <w:shd w:val="clear" w:color="auto" w:fill="auto"/>
            <w:noWrap/>
            <w:vAlign w:val="center"/>
          </w:tcPr>
          <w:p w14:paraId="20FC8651" w14:textId="77777777" w:rsidR="00F53AB2" w:rsidRPr="005D7C3D" w:rsidRDefault="00F53AB2" w:rsidP="003C3DAA">
            <w:pPr>
              <w:jc w:val="center"/>
              <w:rPr>
                <w:sz w:val="22"/>
                <w:szCs w:val="22"/>
              </w:rPr>
            </w:pPr>
            <w:r w:rsidRPr="005D7C3D">
              <w:rPr>
                <w:sz w:val="22"/>
                <w:szCs w:val="22"/>
              </w:rPr>
              <w:t>35/38</w:t>
            </w:r>
          </w:p>
        </w:tc>
        <w:tc>
          <w:tcPr>
            <w:tcW w:w="1468" w:type="dxa"/>
            <w:shd w:val="clear" w:color="auto" w:fill="auto"/>
            <w:noWrap/>
            <w:vAlign w:val="center"/>
          </w:tcPr>
          <w:p w14:paraId="12B99EE8" w14:textId="77777777" w:rsidR="00F53AB2" w:rsidRPr="005D7C3D" w:rsidRDefault="00F53AB2" w:rsidP="003C3DAA">
            <w:pPr>
              <w:jc w:val="right"/>
              <w:rPr>
                <w:sz w:val="22"/>
                <w:szCs w:val="22"/>
              </w:rPr>
            </w:pPr>
            <w:r w:rsidRPr="005D7C3D">
              <w:rPr>
                <w:sz w:val="22"/>
                <w:szCs w:val="22"/>
              </w:rPr>
              <w:t>92,11%</w:t>
            </w:r>
          </w:p>
        </w:tc>
      </w:tr>
      <w:tr w:rsidR="00F53AB2" w:rsidRPr="006739B2" w14:paraId="3115E825" w14:textId="77777777" w:rsidTr="003C3DAA">
        <w:trPr>
          <w:trHeight w:val="290"/>
        </w:trPr>
        <w:tc>
          <w:tcPr>
            <w:tcW w:w="851" w:type="dxa"/>
            <w:shd w:val="clear" w:color="auto" w:fill="auto"/>
            <w:noWrap/>
          </w:tcPr>
          <w:p w14:paraId="2566F94F" w14:textId="77777777" w:rsidR="00F53AB2" w:rsidRPr="005D7C3D" w:rsidRDefault="00F53AB2" w:rsidP="003C3DAA">
            <w:pPr>
              <w:jc w:val="center"/>
              <w:rPr>
                <w:sz w:val="22"/>
                <w:szCs w:val="22"/>
              </w:rPr>
            </w:pPr>
            <w:r w:rsidRPr="005D7C3D">
              <w:rPr>
                <w:sz w:val="22"/>
                <w:szCs w:val="22"/>
              </w:rPr>
              <w:t>54.</w:t>
            </w:r>
          </w:p>
        </w:tc>
        <w:tc>
          <w:tcPr>
            <w:tcW w:w="6095" w:type="dxa"/>
            <w:shd w:val="clear" w:color="auto" w:fill="auto"/>
            <w:noWrap/>
            <w:vAlign w:val="center"/>
          </w:tcPr>
          <w:p w14:paraId="7A770278" w14:textId="77777777" w:rsidR="00F53AB2" w:rsidRPr="005D7C3D" w:rsidRDefault="00F53AB2" w:rsidP="003C3DAA">
            <w:pPr>
              <w:rPr>
                <w:sz w:val="22"/>
                <w:szCs w:val="22"/>
              </w:rPr>
            </w:pPr>
            <w:r w:rsidRPr="005D7C3D">
              <w:rPr>
                <w:sz w:val="22"/>
                <w:szCs w:val="22"/>
              </w:rPr>
              <w:t>Agencija za osiguranje u BiH</w:t>
            </w:r>
          </w:p>
        </w:tc>
        <w:tc>
          <w:tcPr>
            <w:tcW w:w="1276" w:type="dxa"/>
            <w:shd w:val="clear" w:color="auto" w:fill="auto"/>
            <w:noWrap/>
            <w:vAlign w:val="center"/>
          </w:tcPr>
          <w:p w14:paraId="42A6AD54" w14:textId="77777777" w:rsidR="00F53AB2" w:rsidRPr="005D7C3D" w:rsidRDefault="00F53AB2" w:rsidP="003C3DAA">
            <w:pPr>
              <w:jc w:val="center"/>
              <w:rPr>
                <w:sz w:val="22"/>
                <w:szCs w:val="22"/>
              </w:rPr>
            </w:pPr>
            <w:r w:rsidRPr="005D7C3D">
              <w:rPr>
                <w:sz w:val="22"/>
                <w:szCs w:val="22"/>
              </w:rPr>
              <w:t>35/38</w:t>
            </w:r>
          </w:p>
        </w:tc>
        <w:tc>
          <w:tcPr>
            <w:tcW w:w="1468" w:type="dxa"/>
            <w:shd w:val="clear" w:color="auto" w:fill="auto"/>
            <w:noWrap/>
            <w:vAlign w:val="center"/>
          </w:tcPr>
          <w:p w14:paraId="0F54538C" w14:textId="77777777" w:rsidR="00F53AB2" w:rsidRPr="005D7C3D" w:rsidRDefault="00F53AB2" w:rsidP="003C3DAA">
            <w:pPr>
              <w:jc w:val="right"/>
              <w:rPr>
                <w:sz w:val="22"/>
                <w:szCs w:val="22"/>
              </w:rPr>
            </w:pPr>
            <w:r w:rsidRPr="005D7C3D">
              <w:rPr>
                <w:sz w:val="22"/>
                <w:szCs w:val="22"/>
              </w:rPr>
              <w:t>92,11%</w:t>
            </w:r>
          </w:p>
        </w:tc>
      </w:tr>
      <w:tr w:rsidR="00F53AB2" w:rsidRPr="006739B2" w14:paraId="29F81716" w14:textId="77777777" w:rsidTr="003C3DAA">
        <w:trPr>
          <w:trHeight w:val="290"/>
        </w:trPr>
        <w:tc>
          <w:tcPr>
            <w:tcW w:w="851" w:type="dxa"/>
            <w:shd w:val="clear" w:color="auto" w:fill="auto"/>
            <w:noWrap/>
          </w:tcPr>
          <w:p w14:paraId="30779574" w14:textId="77777777" w:rsidR="00F53AB2" w:rsidRPr="005D7C3D" w:rsidRDefault="00F53AB2" w:rsidP="003C3DAA">
            <w:pPr>
              <w:jc w:val="center"/>
              <w:rPr>
                <w:sz w:val="22"/>
                <w:szCs w:val="22"/>
              </w:rPr>
            </w:pPr>
            <w:r w:rsidRPr="005D7C3D">
              <w:rPr>
                <w:sz w:val="22"/>
                <w:szCs w:val="22"/>
              </w:rPr>
              <w:t>55.</w:t>
            </w:r>
          </w:p>
        </w:tc>
        <w:tc>
          <w:tcPr>
            <w:tcW w:w="6095" w:type="dxa"/>
            <w:shd w:val="clear" w:color="auto" w:fill="auto"/>
            <w:noWrap/>
            <w:vAlign w:val="center"/>
          </w:tcPr>
          <w:p w14:paraId="76AD5DF3" w14:textId="77777777" w:rsidR="00F53AB2" w:rsidRPr="005D7C3D" w:rsidRDefault="00F53AB2" w:rsidP="003C3DAA">
            <w:pPr>
              <w:rPr>
                <w:sz w:val="22"/>
                <w:szCs w:val="22"/>
              </w:rPr>
            </w:pPr>
            <w:r w:rsidRPr="005D7C3D">
              <w:rPr>
                <w:sz w:val="22"/>
                <w:szCs w:val="22"/>
              </w:rPr>
              <w:t>Agencija za prevenciju korupcije i koordinaciju borbe protiv korupcije BiH</w:t>
            </w:r>
          </w:p>
        </w:tc>
        <w:tc>
          <w:tcPr>
            <w:tcW w:w="1276" w:type="dxa"/>
            <w:shd w:val="clear" w:color="auto" w:fill="auto"/>
            <w:noWrap/>
            <w:vAlign w:val="center"/>
          </w:tcPr>
          <w:p w14:paraId="73FA392C" w14:textId="77777777" w:rsidR="00F53AB2" w:rsidRPr="005D7C3D" w:rsidRDefault="00F53AB2" w:rsidP="003C3DAA">
            <w:pPr>
              <w:jc w:val="center"/>
              <w:rPr>
                <w:sz w:val="22"/>
                <w:szCs w:val="22"/>
              </w:rPr>
            </w:pPr>
            <w:r w:rsidRPr="005D7C3D">
              <w:rPr>
                <w:sz w:val="22"/>
                <w:szCs w:val="22"/>
              </w:rPr>
              <w:t>35/38</w:t>
            </w:r>
          </w:p>
        </w:tc>
        <w:tc>
          <w:tcPr>
            <w:tcW w:w="1468" w:type="dxa"/>
            <w:shd w:val="clear" w:color="auto" w:fill="auto"/>
            <w:noWrap/>
            <w:vAlign w:val="center"/>
          </w:tcPr>
          <w:p w14:paraId="61703D9A" w14:textId="77777777" w:rsidR="00F53AB2" w:rsidRPr="005D7C3D" w:rsidRDefault="00F53AB2" w:rsidP="003C3DAA">
            <w:pPr>
              <w:jc w:val="right"/>
              <w:rPr>
                <w:sz w:val="22"/>
                <w:szCs w:val="22"/>
              </w:rPr>
            </w:pPr>
            <w:r w:rsidRPr="005D7C3D">
              <w:rPr>
                <w:sz w:val="22"/>
                <w:szCs w:val="22"/>
              </w:rPr>
              <w:t>92,11%</w:t>
            </w:r>
          </w:p>
        </w:tc>
      </w:tr>
      <w:tr w:rsidR="00F53AB2" w:rsidRPr="006739B2" w14:paraId="0FFBB4B7" w14:textId="77777777" w:rsidTr="003C3DAA">
        <w:trPr>
          <w:trHeight w:val="290"/>
        </w:trPr>
        <w:tc>
          <w:tcPr>
            <w:tcW w:w="851" w:type="dxa"/>
            <w:shd w:val="clear" w:color="auto" w:fill="auto"/>
            <w:noWrap/>
          </w:tcPr>
          <w:p w14:paraId="2D9A6E2D" w14:textId="77777777" w:rsidR="00F53AB2" w:rsidRPr="005D7C3D" w:rsidRDefault="00F53AB2" w:rsidP="003C3DAA">
            <w:pPr>
              <w:jc w:val="center"/>
              <w:rPr>
                <w:sz w:val="22"/>
                <w:szCs w:val="22"/>
              </w:rPr>
            </w:pPr>
            <w:r w:rsidRPr="005D7C3D">
              <w:rPr>
                <w:sz w:val="22"/>
                <w:szCs w:val="22"/>
              </w:rPr>
              <w:t>56.</w:t>
            </w:r>
          </w:p>
        </w:tc>
        <w:tc>
          <w:tcPr>
            <w:tcW w:w="6095" w:type="dxa"/>
            <w:shd w:val="clear" w:color="auto" w:fill="auto"/>
            <w:noWrap/>
            <w:vAlign w:val="center"/>
          </w:tcPr>
          <w:p w14:paraId="18817D41" w14:textId="77777777" w:rsidR="00F53AB2" w:rsidRPr="005D7C3D" w:rsidRDefault="00F53AB2" w:rsidP="003C3DAA">
            <w:pPr>
              <w:rPr>
                <w:sz w:val="22"/>
                <w:szCs w:val="22"/>
              </w:rPr>
            </w:pPr>
            <w:r w:rsidRPr="005D7C3D">
              <w:rPr>
                <w:sz w:val="22"/>
                <w:szCs w:val="22"/>
              </w:rPr>
              <w:t>Agencija za školovanje i stručno usavršavanje kadrova BiH</w:t>
            </w:r>
          </w:p>
        </w:tc>
        <w:tc>
          <w:tcPr>
            <w:tcW w:w="1276" w:type="dxa"/>
            <w:shd w:val="clear" w:color="auto" w:fill="auto"/>
            <w:noWrap/>
            <w:vAlign w:val="center"/>
          </w:tcPr>
          <w:p w14:paraId="3AAEF656" w14:textId="77777777" w:rsidR="00F53AB2" w:rsidRPr="005D7C3D" w:rsidRDefault="00F53AB2" w:rsidP="003C3DAA">
            <w:pPr>
              <w:jc w:val="center"/>
              <w:rPr>
                <w:sz w:val="22"/>
                <w:szCs w:val="22"/>
              </w:rPr>
            </w:pPr>
            <w:r w:rsidRPr="005D7C3D">
              <w:rPr>
                <w:sz w:val="22"/>
                <w:szCs w:val="22"/>
              </w:rPr>
              <w:t>35/38</w:t>
            </w:r>
          </w:p>
        </w:tc>
        <w:tc>
          <w:tcPr>
            <w:tcW w:w="1468" w:type="dxa"/>
            <w:shd w:val="clear" w:color="auto" w:fill="auto"/>
            <w:noWrap/>
            <w:vAlign w:val="center"/>
          </w:tcPr>
          <w:p w14:paraId="652D2545" w14:textId="77777777" w:rsidR="00F53AB2" w:rsidRPr="005D7C3D" w:rsidRDefault="00F53AB2" w:rsidP="003C3DAA">
            <w:pPr>
              <w:jc w:val="right"/>
              <w:rPr>
                <w:sz w:val="22"/>
                <w:szCs w:val="22"/>
              </w:rPr>
            </w:pPr>
            <w:r w:rsidRPr="005D7C3D">
              <w:rPr>
                <w:sz w:val="22"/>
                <w:szCs w:val="22"/>
              </w:rPr>
              <w:t>92,11%</w:t>
            </w:r>
          </w:p>
        </w:tc>
      </w:tr>
      <w:tr w:rsidR="00F53AB2" w:rsidRPr="006739B2" w14:paraId="642AD24D" w14:textId="77777777" w:rsidTr="003C3DAA">
        <w:trPr>
          <w:trHeight w:val="290"/>
        </w:trPr>
        <w:tc>
          <w:tcPr>
            <w:tcW w:w="851" w:type="dxa"/>
            <w:shd w:val="clear" w:color="auto" w:fill="auto"/>
            <w:noWrap/>
          </w:tcPr>
          <w:p w14:paraId="4650927E" w14:textId="77777777" w:rsidR="00F53AB2" w:rsidRPr="005D7C3D" w:rsidRDefault="00F53AB2" w:rsidP="003C3DAA">
            <w:pPr>
              <w:jc w:val="center"/>
              <w:rPr>
                <w:sz w:val="22"/>
                <w:szCs w:val="22"/>
              </w:rPr>
            </w:pPr>
            <w:r w:rsidRPr="005D7C3D">
              <w:rPr>
                <w:sz w:val="22"/>
                <w:szCs w:val="22"/>
              </w:rPr>
              <w:t>57.</w:t>
            </w:r>
          </w:p>
        </w:tc>
        <w:tc>
          <w:tcPr>
            <w:tcW w:w="6095" w:type="dxa"/>
            <w:shd w:val="clear" w:color="auto" w:fill="auto"/>
            <w:noWrap/>
            <w:vAlign w:val="center"/>
          </w:tcPr>
          <w:p w14:paraId="1C10C697" w14:textId="77777777" w:rsidR="00F53AB2" w:rsidRPr="005D7C3D" w:rsidRDefault="00F53AB2" w:rsidP="003C3DAA">
            <w:pPr>
              <w:rPr>
                <w:sz w:val="22"/>
                <w:szCs w:val="22"/>
              </w:rPr>
            </w:pPr>
            <w:r w:rsidRPr="005D7C3D">
              <w:rPr>
                <w:sz w:val="22"/>
                <w:szCs w:val="22"/>
              </w:rPr>
              <w:t>Generalni sekretarijat Vijeća ministara BiH</w:t>
            </w:r>
          </w:p>
        </w:tc>
        <w:tc>
          <w:tcPr>
            <w:tcW w:w="1276" w:type="dxa"/>
            <w:shd w:val="clear" w:color="auto" w:fill="auto"/>
            <w:noWrap/>
            <w:vAlign w:val="center"/>
          </w:tcPr>
          <w:p w14:paraId="4A9F4807" w14:textId="77777777" w:rsidR="00F53AB2" w:rsidRPr="005D7C3D" w:rsidRDefault="00F53AB2" w:rsidP="003C3DAA">
            <w:pPr>
              <w:jc w:val="center"/>
              <w:rPr>
                <w:sz w:val="22"/>
                <w:szCs w:val="22"/>
              </w:rPr>
            </w:pPr>
            <w:r w:rsidRPr="005D7C3D">
              <w:rPr>
                <w:sz w:val="22"/>
                <w:szCs w:val="22"/>
              </w:rPr>
              <w:t>35/38</w:t>
            </w:r>
          </w:p>
        </w:tc>
        <w:tc>
          <w:tcPr>
            <w:tcW w:w="1468" w:type="dxa"/>
            <w:shd w:val="clear" w:color="auto" w:fill="auto"/>
            <w:noWrap/>
            <w:vAlign w:val="center"/>
          </w:tcPr>
          <w:p w14:paraId="5B9AFEB8" w14:textId="77777777" w:rsidR="00F53AB2" w:rsidRPr="005D7C3D" w:rsidRDefault="00F53AB2" w:rsidP="003C3DAA">
            <w:pPr>
              <w:jc w:val="right"/>
              <w:rPr>
                <w:sz w:val="22"/>
                <w:szCs w:val="22"/>
              </w:rPr>
            </w:pPr>
            <w:r w:rsidRPr="005D7C3D">
              <w:rPr>
                <w:sz w:val="22"/>
                <w:szCs w:val="22"/>
              </w:rPr>
              <w:t>92,11%</w:t>
            </w:r>
          </w:p>
        </w:tc>
      </w:tr>
      <w:tr w:rsidR="00F53AB2" w:rsidRPr="006739B2" w14:paraId="2EA02F89" w14:textId="77777777" w:rsidTr="003C3DAA">
        <w:trPr>
          <w:trHeight w:val="290"/>
        </w:trPr>
        <w:tc>
          <w:tcPr>
            <w:tcW w:w="851" w:type="dxa"/>
            <w:shd w:val="clear" w:color="auto" w:fill="auto"/>
            <w:noWrap/>
          </w:tcPr>
          <w:p w14:paraId="59D2BEAB" w14:textId="77777777" w:rsidR="00F53AB2" w:rsidRPr="005D7C3D" w:rsidRDefault="00F53AB2" w:rsidP="003C3DAA">
            <w:pPr>
              <w:jc w:val="center"/>
              <w:rPr>
                <w:sz w:val="22"/>
                <w:szCs w:val="22"/>
              </w:rPr>
            </w:pPr>
            <w:r w:rsidRPr="005D7C3D">
              <w:rPr>
                <w:sz w:val="22"/>
                <w:szCs w:val="22"/>
              </w:rPr>
              <w:t>58.</w:t>
            </w:r>
          </w:p>
        </w:tc>
        <w:tc>
          <w:tcPr>
            <w:tcW w:w="6095" w:type="dxa"/>
            <w:shd w:val="clear" w:color="auto" w:fill="auto"/>
            <w:noWrap/>
            <w:vAlign w:val="center"/>
          </w:tcPr>
          <w:p w14:paraId="04E99924" w14:textId="77777777" w:rsidR="00F53AB2" w:rsidRPr="005D7C3D" w:rsidRDefault="00F53AB2" w:rsidP="003C3DAA">
            <w:pPr>
              <w:rPr>
                <w:sz w:val="22"/>
                <w:szCs w:val="22"/>
              </w:rPr>
            </w:pPr>
            <w:r w:rsidRPr="005D7C3D">
              <w:rPr>
                <w:sz w:val="22"/>
                <w:szCs w:val="22"/>
              </w:rPr>
              <w:t>Ministarstvo za ljudska prava i izbjeglice BiH</w:t>
            </w:r>
          </w:p>
        </w:tc>
        <w:tc>
          <w:tcPr>
            <w:tcW w:w="1276" w:type="dxa"/>
            <w:shd w:val="clear" w:color="auto" w:fill="auto"/>
            <w:noWrap/>
            <w:vAlign w:val="center"/>
          </w:tcPr>
          <w:p w14:paraId="10A4A697" w14:textId="77777777" w:rsidR="00F53AB2" w:rsidRPr="005D7C3D" w:rsidRDefault="00F53AB2" w:rsidP="003C3DAA">
            <w:pPr>
              <w:jc w:val="center"/>
              <w:rPr>
                <w:sz w:val="22"/>
                <w:szCs w:val="22"/>
              </w:rPr>
            </w:pPr>
            <w:r w:rsidRPr="005D7C3D">
              <w:rPr>
                <w:sz w:val="22"/>
                <w:szCs w:val="22"/>
              </w:rPr>
              <w:t>37/38</w:t>
            </w:r>
          </w:p>
        </w:tc>
        <w:tc>
          <w:tcPr>
            <w:tcW w:w="1468" w:type="dxa"/>
            <w:shd w:val="clear" w:color="auto" w:fill="auto"/>
            <w:noWrap/>
            <w:vAlign w:val="center"/>
          </w:tcPr>
          <w:p w14:paraId="17979E4A" w14:textId="77777777" w:rsidR="00F53AB2" w:rsidRPr="005D7C3D" w:rsidRDefault="00F53AB2" w:rsidP="003C3DAA">
            <w:pPr>
              <w:jc w:val="right"/>
              <w:rPr>
                <w:sz w:val="22"/>
                <w:szCs w:val="22"/>
              </w:rPr>
            </w:pPr>
            <w:r w:rsidRPr="005D7C3D">
              <w:rPr>
                <w:sz w:val="22"/>
                <w:szCs w:val="22"/>
              </w:rPr>
              <w:t>97,37%</w:t>
            </w:r>
          </w:p>
        </w:tc>
      </w:tr>
      <w:tr w:rsidR="00F53AB2" w:rsidRPr="006739B2" w14:paraId="494F6A35" w14:textId="77777777" w:rsidTr="003C3DAA">
        <w:trPr>
          <w:trHeight w:val="290"/>
        </w:trPr>
        <w:tc>
          <w:tcPr>
            <w:tcW w:w="851" w:type="dxa"/>
            <w:shd w:val="clear" w:color="auto" w:fill="auto"/>
            <w:noWrap/>
          </w:tcPr>
          <w:p w14:paraId="524C6C84" w14:textId="77777777" w:rsidR="00F53AB2" w:rsidRPr="005D7C3D" w:rsidRDefault="00F53AB2" w:rsidP="003C3DAA">
            <w:pPr>
              <w:jc w:val="center"/>
              <w:rPr>
                <w:sz w:val="22"/>
                <w:szCs w:val="22"/>
              </w:rPr>
            </w:pPr>
            <w:r w:rsidRPr="005D7C3D">
              <w:rPr>
                <w:sz w:val="22"/>
                <w:szCs w:val="22"/>
              </w:rPr>
              <w:t>59.</w:t>
            </w:r>
          </w:p>
        </w:tc>
        <w:tc>
          <w:tcPr>
            <w:tcW w:w="6095" w:type="dxa"/>
            <w:shd w:val="clear" w:color="auto" w:fill="auto"/>
            <w:noWrap/>
            <w:vAlign w:val="center"/>
          </w:tcPr>
          <w:p w14:paraId="58EBE44F" w14:textId="77777777" w:rsidR="00F53AB2" w:rsidRPr="005D7C3D" w:rsidRDefault="00F53AB2" w:rsidP="003C3DAA">
            <w:pPr>
              <w:rPr>
                <w:sz w:val="22"/>
                <w:szCs w:val="22"/>
              </w:rPr>
            </w:pPr>
            <w:r w:rsidRPr="005D7C3D">
              <w:rPr>
                <w:sz w:val="22"/>
                <w:szCs w:val="22"/>
              </w:rPr>
              <w:t>Uprava za indirektno oporezivanje BiH</w:t>
            </w:r>
          </w:p>
        </w:tc>
        <w:tc>
          <w:tcPr>
            <w:tcW w:w="1276" w:type="dxa"/>
            <w:shd w:val="clear" w:color="auto" w:fill="auto"/>
            <w:noWrap/>
            <w:vAlign w:val="center"/>
          </w:tcPr>
          <w:p w14:paraId="6CA29B2A" w14:textId="77777777" w:rsidR="00F53AB2" w:rsidRPr="005D7C3D" w:rsidRDefault="00F53AB2" w:rsidP="003C3DAA">
            <w:pPr>
              <w:jc w:val="center"/>
              <w:rPr>
                <w:sz w:val="22"/>
                <w:szCs w:val="22"/>
              </w:rPr>
            </w:pPr>
            <w:r w:rsidRPr="005D7C3D">
              <w:rPr>
                <w:sz w:val="22"/>
                <w:szCs w:val="22"/>
              </w:rPr>
              <w:t>37/38</w:t>
            </w:r>
          </w:p>
        </w:tc>
        <w:tc>
          <w:tcPr>
            <w:tcW w:w="1468" w:type="dxa"/>
            <w:shd w:val="clear" w:color="auto" w:fill="auto"/>
            <w:noWrap/>
            <w:vAlign w:val="center"/>
          </w:tcPr>
          <w:p w14:paraId="35278CC0" w14:textId="77777777" w:rsidR="00F53AB2" w:rsidRPr="005D7C3D" w:rsidRDefault="00F53AB2" w:rsidP="003C3DAA">
            <w:pPr>
              <w:jc w:val="right"/>
              <w:rPr>
                <w:sz w:val="22"/>
                <w:szCs w:val="22"/>
              </w:rPr>
            </w:pPr>
            <w:r w:rsidRPr="005D7C3D">
              <w:rPr>
                <w:sz w:val="22"/>
                <w:szCs w:val="22"/>
              </w:rPr>
              <w:t>97,37%</w:t>
            </w:r>
          </w:p>
        </w:tc>
      </w:tr>
      <w:tr w:rsidR="00F53AB2" w:rsidRPr="006739B2" w14:paraId="55A9A181" w14:textId="77777777" w:rsidTr="003C3DAA">
        <w:trPr>
          <w:trHeight w:val="290"/>
        </w:trPr>
        <w:tc>
          <w:tcPr>
            <w:tcW w:w="851" w:type="dxa"/>
            <w:shd w:val="clear" w:color="auto" w:fill="auto"/>
            <w:noWrap/>
          </w:tcPr>
          <w:p w14:paraId="06AA3F89" w14:textId="77777777" w:rsidR="00F53AB2" w:rsidRPr="005D7C3D" w:rsidRDefault="00F53AB2" w:rsidP="003C3DAA">
            <w:pPr>
              <w:jc w:val="center"/>
              <w:rPr>
                <w:sz w:val="22"/>
                <w:szCs w:val="22"/>
              </w:rPr>
            </w:pPr>
            <w:r w:rsidRPr="005D7C3D">
              <w:rPr>
                <w:sz w:val="22"/>
                <w:szCs w:val="22"/>
              </w:rPr>
              <w:t>60.</w:t>
            </w:r>
          </w:p>
        </w:tc>
        <w:tc>
          <w:tcPr>
            <w:tcW w:w="6095" w:type="dxa"/>
            <w:shd w:val="clear" w:color="auto" w:fill="auto"/>
            <w:noWrap/>
            <w:vAlign w:val="center"/>
          </w:tcPr>
          <w:p w14:paraId="4C541ACC" w14:textId="77777777" w:rsidR="00F53AB2" w:rsidRPr="005D7C3D" w:rsidRDefault="00F53AB2" w:rsidP="003C3DAA">
            <w:pPr>
              <w:rPr>
                <w:sz w:val="22"/>
                <w:szCs w:val="22"/>
              </w:rPr>
            </w:pPr>
            <w:r w:rsidRPr="005D7C3D">
              <w:rPr>
                <w:sz w:val="22"/>
                <w:szCs w:val="22"/>
              </w:rPr>
              <w:t>Agencija za policijsku podršku BiH</w:t>
            </w:r>
          </w:p>
        </w:tc>
        <w:tc>
          <w:tcPr>
            <w:tcW w:w="1276" w:type="dxa"/>
            <w:shd w:val="clear" w:color="auto" w:fill="auto"/>
            <w:noWrap/>
            <w:vAlign w:val="center"/>
          </w:tcPr>
          <w:p w14:paraId="5194EE82" w14:textId="77777777" w:rsidR="00F53AB2" w:rsidRPr="005D7C3D" w:rsidRDefault="00F53AB2" w:rsidP="003C3DAA">
            <w:pPr>
              <w:jc w:val="center"/>
              <w:rPr>
                <w:sz w:val="22"/>
                <w:szCs w:val="22"/>
              </w:rPr>
            </w:pPr>
            <w:r w:rsidRPr="005D7C3D">
              <w:rPr>
                <w:sz w:val="22"/>
                <w:szCs w:val="22"/>
              </w:rPr>
              <w:t>38/38</w:t>
            </w:r>
          </w:p>
        </w:tc>
        <w:tc>
          <w:tcPr>
            <w:tcW w:w="1468" w:type="dxa"/>
            <w:shd w:val="clear" w:color="auto" w:fill="auto"/>
            <w:noWrap/>
            <w:vAlign w:val="center"/>
          </w:tcPr>
          <w:p w14:paraId="598EC85E" w14:textId="77777777" w:rsidR="00F53AB2" w:rsidRPr="005D7C3D" w:rsidRDefault="00F53AB2" w:rsidP="003C3DAA">
            <w:pPr>
              <w:jc w:val="right"/>
              <w:rPr>
                <w:sz w:val="22"/>
                <w:szCs w:val="22"/>
              </w:rPr>
            </w:pPr>
            <w:r w:rsidRPr="005D7C3D">
              <w:rPr>
                <w:sz w:val="22"/>
                <w:szCs w:val="22"/>
              </w:rPr>
              <w:t>100</w:t>
            </w:r>
            <w:r>
              <w:rPr>
                <w:sz w:val="22"/>
                <w:szCs w:val="22"/>
              </w:rPr>
              <w:t>,00</w:t>
            </w:r>
            <w:r w:rsidRPr="005D7C3D">
              <w:rPr>
                <w:sz w:val="22"/>
                <w:szCs w:val="22"/>
              </w:rPr>
              <w:t>%</w:t>
            </w:r>
          </w:p>
        </w:tc>
      </w:tr>
      <w:tr w:rsidR="00F53AB2" w:rsidRPr="006739B2" w14:paraId="2CACA759" w14:textId="77777777" w:rsidTr="003C3DAA">
        <w:trPr>
          <w:trHeight w:val="290"/>
        </w:trPr>
        <w:tc>
          <w:tcPr>
            <w:tcW w:w="851" w:type="dxa"/>
            <w:shd w:val="clear" w:color="auto" w:fill="auto"/>
            <w:noWrap/>
          </w:tcPr>
          <w:p w14:paraId="67A5A628" w14:textId="77777777" w:rsidR="00F53AB2" w:rsidRPr="005D7C3D" w:rsidRDefault="00F53AB2" w:rsidP="003C3DAA">
            <w:pPr>
              <w:jc w:val="center"/>
              <w:rPr>
                <w:sz w:val="22"/>
                <w:szCs w:val="22"/>
              </w:rPr>
            </w:pPr>
            <w:r w:rsidRPr="005D7C3D">
              <w:rPr>
                <w:sz w:val="22"/>
                <w:szCs w:val="22"/>
              </w:rPr>
              <w:t>61.</w:t>
            </w:r>
          </w:p>
        </w:tc>
        <w:tc>
          <w:tcPr>
            <w:tcW w:w="6095" w:type="dxa"/>
            <w:shd w:val="clear" w:color="auto" w:fill="auto"/>
            <w:noWrap/>
            <w:vAlign w:val="center"/>
          </w:tcPr>
          <w:p w14:paraId="58E433A2" w14:textId="77777777" w:rsidR="00F53AB2" w:rsidRPr="005D7C3D" w:rsidRDefault="00F53AB2" w:rsidP="003C3DAA">
            <w:pPr>
              <w:rPr>
                <w:sz w:val="22"/>
                <w:szCs w:val="22"/>
              </w:rPr>
            </w:pPr>
            <w:r w:rsidRPr="005D7C3D">
              <w:rPr>
                <w:sz w:val="22"/>
                <w:szCs w:val="22"/>
              </w:rPr>
              <w:t>Agencija za ravnopravnost polova BiH</w:t>
            </w:r>
          </w:p>
        </w:tc>
        <w:tc>
          <w:tcPr>
            <w:tcW w:w="1276" w:type="dxa"/>
            <w:shd w:val="clear" w:color="auto" w:fill="auto"/>
            <w:noWrap/>
            <w:vAlign w:val="center"/>
          </w:tcPr>
          <w:p w14:paraId="459DA54B" w14:textId="77777777" w:rsidR="00F53AB2" w:rsidRPr="005D7C3D" w:rsidRDefault="00F53AB2" w:rsidP="003C3DAA">
            <w:pPr>
              <w:jc w:val="center"/>
              <w:rPr>
                <w:sz w:val="22"/>
                <w:szCs w:val="22"/>
              </w:rPr>
            </w:pPr>
            <w:r w:rsidRPr="005D7C3D">
              <w:rPr>
                <w:sz w:val="22"/>
                <w:szCs w:val="22"/>
              </w:rPr>
              <w:t>38/38</w:t>
            </w:r>
          </w:p>
        </w:tc>
        <w:tc>
          <w:tcPr>
            <w:tcW w:w="1468" w:type="dxa"/>
            <w:shd w:val="clear" w:color="auto" w:fill="auto"/>
            <w:noWrap/>
            <w:vAlign w:val="center"/>
          </w:tcPr>
          <w:p w14:paraId="4BDB071C" w14:textId="77777777" w:rsidR="00F53AB2" w:rsidRPr="005D7C3D" w:rsidRDefault="00F53AB2" w:rsidP="003C3DAA">
            <w:pPr>
              <w:jc w:val="right"/>
              <w:rPr>
                <w:sz w:val="22"/>
                <w:szCs w:val="22"/>
              </w:rPr>
            </w:pPr>
            <w:r w:rsidRPr="005D7C3D">
              <w:rPr>
                <w:sz w:val="22"/>
                <w:szCs w:val="22"/>
              </w:rPr>
              <w:t>100</w:t>
            </w:r>
            <w:r>
              <w:rPr>
                <w:sz w:val="22"/>
                <w:szCs w:val="22"/>
              </w:rPr>
              <w:t>,00</w:t>
            </w:r>
            <w:r w:rsidRPr="005D7C3D">
              <w:rPr>
                <w:sz w:val="22"/>
                <w:szCs w:val="22"/>
              </w:rPr>
              <w:t>%</w:t>
            </w:r>
          </w:p>
        </w:tc>
      </w:tr>
      <w:tr w:rsidR="00F53AB2" w:rsidRPr="006739B2" w14:paraId="74723A38" w14:textId="77777777" w:rsidTr="003C3DAA">
        <w:trPr>
          <w:trHeight w:val="290"/>
        </w:trPr>
        <w:tc>
          <w:tcPr>
            <w:tcW w:w="851" w:type="dxa"/>
            <w:shd w:val="clear" w:color="auto" w:fill="auto"/>
            <w:noWrap/>
          </w:tcPr>
          <w:p w14:paraId="769CC391" w14:textId="77777777" w:rsidR="00F53AB2" w:rsidRPr="005D7C3D" w:rsidRDefault="00F53AB2" w:rsidP="003C3DAA">
            <w:pPr>
              <w:jc w:val="center"/>
              <w:rPr>
                <w:sz w:val="22"/>
                <w:szCs w:val="22"/>
              </w:rPr>
            </w:pPr>
            <w:r w:rsidRPr="005D7C3D">
              <w:rPr>
                <w:sz w:val="22"/>
                <w:szCs w:val="22"/>
              </w:rPr>
              <w:t>62.</w:t>
            </w:r>
          </w:p>
        </w:tc>
        <w:tc>
          <w:tcPr>
            <w:tcW w:w="6095" w:type="dxa"/>
            <w:shd w:val="clear" w:color="auto" w:fill="auto"/>
            <w:noWrap/>
            <w:vAlign w:val="center"/>
          </w:tcPr>
          <w:p w14:paraId="77078164" w14:textId="77777777" w:rsidR="00F53AB2" w:rsidRPr="005D7C3D" w:rsidRDefault="00F53AB2" w:rsidP="003C3DAA">
            <w:pPr>
              <w:rPr>
                <w:sz w:val="22"/>
                <w:szCs w:val="22"/>
              </w:rPr>
            </w:pPr>
            <w:r w:rsidRPr="005D7C3D">
              <w:rPr>
                <w:sz w:val="22"/>
                <w:szCs w:val="22"/>
              </w:rPr>
              <w:t>Agencija za razvoj visokog obrazovanja i osiguranje kvaliteta</w:t>
            </w:r>
          </w:p>
        </w:tc>
        <w:tc>
          <w:tcPr>
            <w:tcW w:w="1276" w:type="dxa"/>
            <w:shd w:val="clear" w:color="auto" w:fill="auto"/>
            <w:noWrap/>
            <w:vAlign w:val="center"/>
          </w:tcPr>
          <w:p w14:paraId="75FBD2EF" w14:textId="77777777" w:rsidR="00F53AB2" w:rsidRPr="005D7C3D" w:rsidRDefault="00F53AB2" w:rsidP="003C3DAA">
            <w:pPr>
              <w:jc w:val="center"/>
              <w:rPr>
                <w:sz w:val="22"/>
                <w:szCs w:val="22"/>
              </w:rPr>
            </w:pPr>
            <w:r w:rsidRPr="005D7C3D">
              <w:rPr>
                <w:sz w:val="22"/>
                <w:szCs w:val="22"/>
              </w:rPr>
              <w:t>38/38</w:t>
            </w:r>
          </w:p>
        </w:tc>
        <w:tc>
          <w:tcPr>
            <w:tcW w:w="1468" w:type="dxa"/>
            <w:shd w:val="clear" w:color="auto" w:fill="auto"/>
            <w:noWrap/>
            <w:vAlign w:val="center"/>
          </w:tcPr>
          <w:p w14:paraId="58D81388" w14:textId="77777777" w:rsidR="00F53AB2" w:rsidRPr="005D7C3D" w:rsidRDefault="00F53AB2" w:rsidP="003C3DAA">
            <w:pPr>
              <w:jc w:val="right"/>
              <w:rPr>
                <w:sz w:val="22"/>
                <w:szCs w:val="22"/>
              </w:rPr>
            </w:pPr>
            <w:r w:rsidRPr="005D7C3D">
              <w:rPr>
                <w:sz w:val="22"/>
                <w:szCs w:val="22"/>
              </w:rPr>
              <w:t>100</w:t>
            </w:r>
            <w:r>
              <w:rPr>
                <w:sz w:val="22"/>
                <w:szCs w:val="22"/>
              </w:rPr>
              <w:t>,00</w:t>
            </w:r>
            <w:r w:rsidRPr="005D7C3D">
              <w:rPr>
                <w:sz w:val="22"/>
                <w:szCs w:val="22"/>
              </w:rPr>
              <w:t>%</w:t>
            </w:r>
          </w:p>
        </w:tc>
      </w:tr>
      <w:tr w:rsidR="00F53AB2" w:rsidRPr="006739B2" w14:paraId="486A2FCC" w14:textId="77777777" w:rsidTr="003C3DAA">
        <w:trPr>
          <w:trHeight w:val="290"/>
        </w:trPr>
        <w:tc>
          <w:tcPr>
            <w:tcW w:w="851" w:type="dxa"/>
            <w:shd w:val="clear" w:color="auto" w:fill="auto"/>
            <w:noWrap/>
          </w:tcPr>
          <w:p w14:paraId="5D30732C" w14:textId="77777777" w:rsidR="00F53AB2" w:rsidRPr="005D7C3D" w:rsidRDefault="00F53AB2" w:rsidP="003C3DAA">
            <w:pPr>
              <w:jc w:val="center"/>
              <w:rPr>
                <w:sz w:val="22"/>
                <w:szCs w:val="22"/>
              </w:rPr>
            </w:pPr>
            <w:r w:rsidRPr="005D7C3D">
              <w:rPr>
                <w:sz w:val="22"/>
                <w:szCs w:val="22"/>
              </w:rPr>
              <w:t>63.</w:t>
            </w:r>
          </w:p>
        </w:tc>
        <w:tc>
          <w:tcPr>
            <w:tcW w:w="6095" w:type="dxa"/>
            <w:shd w:val="clear" w:color="auto" w:fill="auto"/>
            <w:noWrap/>
            <w:vAlign w:val="center"/>
          </w:tcPr>
          <w:p w14:paraId="26BF5081" w14:textId="77777777" w:rsidR="00F53AB2" w:rsidRPr="005D7C3D" w:rsidRDefault="00F53AB2" w:rsidP="003C3DAA">
            <w:pPr>
              <w:rPr>
                <w:sz w:val="22"/>
                <w:szCs w:val="22"/>
              </w:rPr>
            </w:pPr>
            <w:r w:rsidRPr="005D7C3D">
              <w:rPr>
                <w:sz w:val="22"/>
                <w:szCs w:val="22"/>
              </w:rPr>
              <w:t>Agencija za statistiku BiH</w:t>
            </w:r>
          </w:p>
        </w:tc>
        <w:tc>
          <w:tcPr>
            <w:tcW w:w="1276" w:type="dxa"/>
            <w:shd w:val="clear" w:color="auto" w:fill="auto"/>
            <w:noWrap/>
            <w:vAlign w:val="center"/>
          </w:tcPr>
          <w:p w14:paraId="14801F76" w14:textId="77777777" w:rsidR="00F53AB2" w:rsidRPr="005D7C3D" w:rsidRDefault="00F53AB2" w:rsidP="003C3DAA">
            <w:pPr>
              <w:jc w:val="center"/>
              <w:rPr>
                <w:sz w:val="22"/>
                <w:szCs w:val="22"/>
              </w:rPr>
            </w:pPr>
            <w:r w:rsidRPr="005D7C3D">
              <w:rPr>
                <w:sz w:val="22"/>
                <w:szCs w:val="22"/>
              </w:rPr>
              <w:t>38/38</w:t>
            </w:r>
          </w:p>
        </w:tc>
        <w:tc>
          <w:tcPr>
            <w:tcW w:w="1468" w:type="dxa"/>
            <w:shd w:val="clear" w:color="auto" w:fill="auto"/>
            <w:noWrap/>
            <w:vAlign w:val="center"/>
          </w:tcPr>
          <w:p w14:paraId="1243A6FF" w14:textId="77777777" w:rsidR="00F53AB2" w:rsidRPr="005D7C3D" w:rsidRDefault="00F53AB2" w:rsidP="003C3DAA">
            <w:pPr>
              <w:jc w:val="right"/>
              <w:rPr>
                <w:sz w:val="22"/>
                <w:szCs w:val="22"/>
              </w:rPr>
            </w:pPr>
            <w:r w:rsidRPr="005D7C3D">
              <w:rPr>
                <w:sz w:val="22"/>
                <w:szCs w:val="22"/>
              </w:rPr>
              <w:t>100</w:t>
            </w:r>
            <w:r>
              <w:rPr>
                <w:sz w:val="22"/>
                <w:szCs w:val="22"/>
              </w:rPr>
              <w:t>,00</w:t>
            </w:r>
            <w:r w:rsidRPr="005D7C3D">
              <w:rPr>
                <w:sz w:val="22"/>
                <w:szCs w:val="22"/>
              </w:rPr>
              <w:t>%</w:t>
            </w:r>
          </w:p>
        </w:tc>
      </w:tr>
      <w:tr w:rsidR="00F53AB2" w:rsidRPr="006739B2" w14:paraId="0546313E" w14:textId="77777777" w:rsidTr="003C3DAA">
        <w:trPr>
          <w:trHeight w:val="290"/>
        </w:trPr>
        <w:tc>
          <w:tcPr>
            <w:tcW w:w="851" w:type="dxa"/>
            <w:shd w:val="clear" w:color="auto" w:fill="auto"/>
            <w:noWrap/>
          </w:tcPr>
          <w:p w14:paraId="2CB87090" w14:textId="77777777" w:rsidR="00F53AB2" w:rsidRPr="005D7C3D" w:rsidRDefault="00F53AB2" w:rsidP="003C3DAA">
            <w:pPr>
              <w:jc w:val="center"/>
              <w:rPr>
                <w:sz w:val="22"/>
                <w:szCs w:val="22"/>
              </w:rPr>
            </w:pPr>
            <w:r w:rsidRPr="005D7C3D">
              <w:rPr>
                <w:sz w:val="22"/>
                <w:szCs w:val="22"/>
              </w:rPr>
              <w:t>64.</w:t>
            </w:r>
          </w:p>
        </w:tc>
        <w:tc>
          <w:tcPr>
            <w:tcW w:w="6095" w:type="dxa"/>
            <w:shd w:val="clear" w:color="auto" w:fill="auto"/>
            <w:noWrap/>
            <w:vAlign w:val="center"/>
          </w:tcPr>
          <w:p w14:paraId="3AC31AC8" w14:textId="77777777" w:rsidR="00F53AB2" w:rsidRPr="005D7C3D" w:rsidRDefault="00F53AB2" w:rsidP="003C3DAA">
            <w:pPr>
              <w:rPr>
                <w:sz w:val="22"/>
                <w:szCs w:val="22"/>
              </w:rPr>
            </w:pPr>
            <w:r w:rsidRPr="005D7C3D">
              <w:rPr>
                <w:sz w:val="22"/>
                <w:szCs w:val="22"/>
              </w:rPr>
              <w:t>Direkcija za evropske integracije BiH</w:t>
            </w:r>
          </w:p>
        </w:tc>
        <w:tc>
          <w:tcPr>
            <w:tcW w:w="1276" w:type="dxa"/>
            <w:shd w:val="clear" w:color="auto" w:fill="auto"/>
            <w:noWrap/>
            <w:vAlign w:val="center"/>
          </w:tcPr>
          <w:p w14:paraId="69E735A8" w14:textId="77777777" w:rsidR="00F53AB2" w:rsidRPr="005D7C3D" w:rsidRDefault="00F53AB2" w:rsidP="003C3DAA">
            <w:pPr>
              <w:jc w:val="center"/>
              <w:rPr>
                <w:sz w:val="22"/>
                <w:szCs w:val="22"/>
              </w:rPr>
            </w:pPr>
            <w:r w:rsidRPr="005D7C3D">
              <w:rPr>
                <w:sz w:val="22"/>
                <w:szCs w:val="22"/>
              </w:rPr>
              <w:t>38/38</w:t>
            </w:r>
          </w:p>
        </w:tc>
        <w:tc>
          <w:tcPr>
            <w:tcW w:w="1468" w:type="dxa"/>
            <w:shd w:val="clear" w:color="auto" w:fill="auto"/>
            <w:noWrap/>
            <w:vAlign w:val="center"/>
          </w:tcPr>
          <w:p w14:paraId="6602676A" w14:textId="77777777" w:rsidR="00F53AB2" w:rsidRPr="005D7C3D" w:rsidRDefault="00F53AB2" w:rsidP="003C3DAA">
            <w:pPr>
              <w:jc w:val="right"/>
              <w:rPr>
                <w:sz w:val="22"/>
                <w:szCs w:val="22"/>
              </w:rPr>
            </w:pPr>
            <w:r w:rsidRPr="005D7C3D">
              <w:rPr>
                <w:sz w:val="22"/>
                <w:szCs w:val="22"/>
              </w:rPr>
              <w:t>100</w:t>
            </w:r>
            <w:r>
              <w:rPr>
                <w:sz w:val="22"/>
                <w:szCs w:val="22"/>
              </w:rPr>
              <w:t>,00</w:t>
            </w:r>
            <w:r w:rsidRPr="005D7C3D">
              <w:rPr>
                <w:sz w:val="22"/>
                <w:szCs w:val="22"/>
              </w:rPr>
              <w:t>%</w:t>
            </w:r>
          </w:p>
        </w:tc>
      </w:tr>
      <w:tr w:rsidR="00F53AB2" w:rsidRPr="006739B2" w14:paraId="5EB2A7F0" w14:textId="77777777" w:rsidTr="003C3DAA">
        <w:trPr>
          <w:trHeight w:val="290"/>
        </w:trPr>
        <w:tc>
          <w:tcPr>
            <w:tcW w:w="851" w:type="dxa"/>
            <w:shd w:val="clear" w:color="auto" w:fill="auto"/>
            <w:noWrap/>
          </w:tcPr>
          <w:p w14:paraId="70DBC1EE" w14:textId="77777777" w:rsidR="00F53AB2" w:rsidRPr="005D7C3D" w:rsidRDefault="00F53AB2" w:rsidP="003C3DAA">
            <w:pPr>
              <w:jc w:val="center"/>
              <w:rPr>
                <w:sz w:val="22"/>
                <w:szCs w:val="22"/>
              </w:rPr>
            </w:pPr>
            <w:r w:rsidRPr="005D7C3D">
              <w:rPr>
                <w:sz w:val="22"/>
                <w:szCs w:val="22"/>
              </w:rPr>
              <w:t>65.</w:t>
            </w:r>
          </w:p>
        </w:tc>
        <w:tc>
          <w:tcPr>
            <w:tcW w:w="6095" w:type="dxa"/>
            <w:shd w:val="clear" w:color="auto" w:fill="auto"/>
            <w:noWrap/>
            <w:vAlign w:val="center"/>
          </w:tcPr>
          <w:p w14:paraId="39ABC052" w14:textId="77777777" w:rsidR="00F53AB2" w:rsidRPr="005D7C3D" w:rsidRDefault="00F53AB2" w:rsidP="003C3DAA">
            <w:pPr>
              <w:rPr>
                <w:sz w:val="22"/>
                <w:szCs w:val="22"/>
              </w:rPr>
            </w:pPr>
            <w:r w:rsidRPr="005D7C3D">
              <w:rPr>
                <w:sz w:val="22"/>
                <w:szCs w:val="22"/>
              </w:rPr>
              <w:t>Ured koordinatora za reformu javne uprave BiH</w:t>
            </w:r>
          </w:p>
        </w:tc>
        <w:tc>
          <w:tcPr>
            <w:tcW w:w="1276" w:type="dxa"/>
            <w:shd w:val="clear" w:color="auto" w:fill="auto"/>
            <w:noWrap/>
            <w:vAlign w:val="center"/>
          </w:tcPr>
          <w:p w14:paraId="0CFDE32F" w14:textId="77777777" w:rsidR="00F53AB2" w:rsidRPr="005D7C3D" w:rsidRDefault="00F53AB2" w:rsidP="003C3DAA">
            <w:pPr>
              <w:jc w:val="center"/>
              <w:rPr>
                <w:sz w:val="22"/>
                <w:szCs w:val="22"/>
              </w:rPr>
            </w:pPr>
            <w:r w:rsidRPr="005D7C3D">
              <w:rPr>
                <w:sz w:val="22"/>
                <w:szCs w:val="22"/>
              </w:rPr>
              <w:t>38/38</w:t>
            </w:r>
          </w:p>
        </w:tc>
        <w:tc>
          <w:tcPr>
            <w:tcW w:w="1468" w:type="dxa"/>
            <w:shd w:val="clear" w:color="auto" w:fill="auto"/>
            <w:noWrap/>
            <w:vAlign w:val="center"/>
          </w:tcPr>
          <w:p w14:paraId="030129F1" w14:textId="77777777" w:rsidR="00F53AB2" w:rsidRPr="005D7C3D" w:rsidRDefault="00F53AB2" w:rsidP="003C3DAA">
            <w:pPr>
              <w:jc w:val="right"/>
              <w:rPr>
                <w:sz w:val="22"/>
                <w:szCs w:val="22"/>
              </w:rPr>
            </w:pPr>
            <w:r w:rsidRPr="005D7C3D">
              <w:rPr>
                <w:sz w:val="22"/>
                <w:szCs w:val="22"/>
              </w:rPr>
              <w:t>100</w:t>
            </w:r>
            <w:r>
              <w:rPr>
                <w:sz w:val="22"/>
                <w:szCs w:val="22"/>
              </w:rPr>
              <w:t>,00</w:t>
            </w:r>
            <w:r w:rsidRPr="005D7C3D">
              <w:rPr>
                <w:sz w:val="22"/>
                <w:szCs w:val="22"/>
              </w:rPr>
              <w:t>%</w:t>
            </w:r>
          </w:p>
        </w:tc>
      </w:tr>
    </w:tbl>
    <w:p w14:paraId="06E19489" w14:textId="77777777" w:rsidR="00F53AB2" w:rsidRPr="002906A5" w:rsidRDefault="00F53AB2" w:rsidP="00F53AB2">
      <w:pPr>
        <w:jc w:val="center"/>
        <w:rPr>
          <w:i/>
          <w:sz w:val="18"/>
          <w:szCs w:val="18"/>
        </w:rPr>
      </w:pPr>
      <w:r w:rsidRPr="002906A5">
        <w:rPr>
          <w:i/>
          <w:sz w:val="18"/>
          <w:szCs w:val="18"/>
        </w:rPr>
        <w:t>Tabela 1 - Pregled ispunjenosti standarda po institucijama</w:t>
      </w:r>
      <w:r>
        <w:rPr>
          <w:i/>
          <w:sz w:val="18"/>
          <w:szCs w:val="18"/>
        </w:rPr>
        <w:t xml:space="preserve"> (Istraživanje V - 2023)</w:t>
      </w:r>
    </w:p>
    <w:p w14:paraId="170BF6EE" w14:textId="77777777" w:rsidR="00F53AB2" w:rsidRDefault="00F53AB2" w:rsidP="00F53AB2">
      <w:pPr>
        <w:rPr>
          <w:b/>
        </w:rPr>
      </w:pPr>
    </w:p>
    <w:p w14:paraId="410CD3EA" w14:textId="77777777" w:rsidR="00F53AB2" w:rsidRPr="003230D7" w:rsidRDefault="00F53AB2" w:rsidP="00F53AB2">
      <w:pPr>
        <w:spacing w:line="276" w:lineRule="auto"/>
        <w:jc w:val="both"/>
      </w:pPr>
    </w:p>
    <w:p w14:paraId="242A8E7A" w14:textId="77777777" w:rsidR="00F53AB2" w:rsidRPr="009B5B1F" w:rsidRDefault="00F53AB2" w:rsidP="00F53AB2">
      <w:pPr>
        <w:spacing w:line="276" w:lineRule="auto"/>
        <w:jc w:val="both"/>
      </w:pPr>
    </w:p>
    <w:p w14:paraId="0FA8A954" w14:textId="77777777" w:rsidR="00F53AB2" w:rsidRPr="00B86D02" w:rsidRDefault="00F53AB2" w:rsidP="00F53AB2">
      <w:pPr>
        <w:spacing w:line="276" w:lineRule="auto"/>
        <w:jc w:val="both"/>
        <w:rPr>
          <w:highlight w:val="yellow"/>
        </w:rPr>
      </w:pPr>
    </w:p>
    <w:p w14:paraId="5474A82C" w14:textId="77777777" w:rsidR="00F53AB2" w:rsidRPr="00741D33" w:rsidRDefault="00F53AB2" w:rsidP="00F53AB2">
      <w:pPr>
        <w:pStyle w:val="ListParagraph"/>
        <w:tabs>
          <w:tab w:val="left" w:pos="3751"/>
        </w:tabs>
        <w:ind w:left="0"/>
        <w:jc w:val="center"/>
        <w:rPr>
          <w:rFonts w:ascii="Times New Roman" w:hAnsi="Times New Roman"/>
          <w:b/>
          <w:sz w:val="24"/>
          <w:szCs w:val="24"/>
          <w:u w:val="single"/>
        </w:rPr>
      </w:pPr>
      <w:r w:rsidRPr="00741D33">
        <w:rPr>
          <w:rFonts w:ascii="Times New Roman" w:hAnsi="Times New Roman"/>
          <w:b/>
          <w:sz w:val="24"/>
          <w:szCs w:val="24"/>
          <w:u w:val="single"/>
        </w:rPr>
        <w:t>Finansijske informacije</w:t>
      </w:r>
    </w:p>
    <w:p w14:paraId="1A6483B7" w14:textId="77777777" w:rsidR="00F53AB2" w:rsidRDefault="00F53AB2" w:rsidP="00F53AB2">
      <w:pPr>
        <w:pStyle w:val="ListParagraph"/>
        <w:tabs>
          <w:tab w:val="left" w:pos="3751"/>
        </w:tabs>
        <w:spacing w:after="0"/>
        <w:ind w:left="0"/>
        <w:jc w:val="center"/>
        <w:rPr>
          <w:rFonts w:ascii="Times New Roman" w:hAnsi="Times New Roman"/>
          <w:i/>
          <w:sz w:val="18"/>
          <w:szCs w:val="18"/>
          <w:u w:val="single"/>
        </w:rPr>
      </w:pPr>
    </w:p>
    <w:p w14:paraId="1D1DD441" w14:textId="77777777" w:rsidR="00F53AB2" w:rsidRPr="00D14239" w:rsidRDefault="00F53AB2" w:rsidP="00F53AB2">
      <w:pPr>
        <w:pStyle w:val="ListParagraph"/>
        <w:tabs>
          <w:tab w:val="left" w:pos="3751"/>
        </w:tabs>
        <w:spacing w:after="0"/>
        <w:ind w:left="0"/>
        <w:jc w:val="center"/>
        <w:rPr>
          <w:rFonts w:ascii="Times New Roman" w:hAnsi="Times New Roman"/>
          <w:i/>
          <w:sz w:val="18"/>
          <w:szCs w:val="18"/>
          <w:u w:val="single"/>
        </w:rPr>
      </w:pPr>
      <w:r w:rsidRPr="00D14239">
        <w:rPr>
          <w:rFonts w:ascii="Times New Roman" w:hAnsi="Times New Roman"/>
          <w:i/>
          <w:sz w:val="18"/>
          <w:szCs w:val="18"/>
          <w:u w:val="single"/>
        </w:rPr>
        <w:t>(</w:t>
      </w:r>
      <w:r w:rsidRPr="00D14239">
        <w:rPr>
          <w:rFonts w:ascii="Times New Roman" w:eastAsia="Cambria" w:hAnsi="Times New Roman"/>
          <w:i/>
          <w:color w:val="000000"/>
          <w:sz w:val="18"/>
          <w:szCs w:val="18"/>
        </w:rPr>
        <w:t>Budžet – Izvod iz Zakona o budžetu institucija BiH i međunarodnih obaveza BiH, Budžet u formatu zahtjeva za dodjelu budžetskih sredstava, Budžet analitički/Operativni plan/odobreni budžet, Izvještaj o izvršenju budžeta (analitički), Izvještaj o izvršenju budžeta/Aneks revizorskog izvještaja, Ukupna izdvajanja za imenovana lica, rukovodeće državne službenike, državne službenike i zaposlenike prema pozicijama, Revizorski izvještaji)</w:t>
      </w:r>
    </w:p>
    <w:p w14:paraId="1C64941D" w14:textId="77777777" w:rsidR="00F53AB2" w:rsidRDefault="00F53AB2" w:rsidP="00F53AB2">
      <w:pPr>
        <w:rPr>
          <w:b/>
        </w:rPr>
      </w:pPr>
    </w:p>
    <w:p w14:paraId="5992CF7C" w14:textId="4A0F7994" w:rsidR="00F53AB2" w:rsidRPr="00FF5880" w:rsidRDefault="00F53AB2" w:rsidP="00F53AB2">
      <w:pPr>
        <w:pStyle w:val="ListParagraph"/>
        <w:ind w:left="0"/>
        <w:jc w:val="both"/>
        <w:rPr>
          <w:rFonts w:ascii="Times New Roman" w:hAnsi="Times New Roman"/>
          <w:sz w:val="24"/>
          <w:szCs w:val="24"/>
        </w:rPr>
      </w:pPr>
      <w:r w:rsidRPr="00EF6254">
        <w:rPr>
          <w:rFonts w:ascii="Times New Roman" w:hAnsi="Times New Roman"/>
          <w:sz w:val="24"/>
          <w:szCs w:val="24"/>
        </w:rPr>
        <w:t xml:space="preserve">Kada su u pitanju finansijski podaci i </w:t>
      </w:r>
      <w:r w:rsidRPr="00D47297">
        <w:rPr>
          <w:rFonts w:ascii="Times New Roman" w:hAnsi="Times New Roman"/>
          <w:sz w:val="24"/>
          <w:szCs w:val="24"/>
        </w:rPr>
        <w:t xml:space="preserve">informacije, dokument „izvod iz budžeta institucija BiH“ (inače, objavljen u Službenom glasniku) na svojim web stranicama objavile su 44 institucija (67,69%). Standard „budžet u formatu zahtjeva za dodjelu budžetskih sredstava institucije“ ne objavljuje 34 institucije (47,69%). Analitički budžet (dokument još nazvan i </w:t>
      </w:r>
      <w:r w:rsidRPr="00D47297">
        <w:rPr>
          <w:rFonts w:ascii="Times New Roman" w:eastAsia="Cambria" w:hAnsi="Times New Roman"/>
          <w:color w:val="000000"/>
          <w:sz w:val="24"/>
          <w:szCs w:val="24"/>
        </w:rPr>
        <w:t>Operativni budžet, a predstavlja set analitičkih i sintetičkih prikaza)</w:t>
      </w:r>
      <w:r w:rsidRPr="00D47297">
        <w:rPr>
          <w:rFonts w:ascii="Times New Roman" w:hAnsi="Times New Roman"/>
          <w:sz w:val="24"/>
          <w:szCs w:val="24"/>
        </w:rPr>
        <w:t xml:space="preserve"> objavile su 42</w:t>
      </w:r>
      <w:r w:rsidRPr="00EF6254">
        <w:rPr>
          <w:rFonts w:ascii="Times New Roman" w:hAnsi="Times New Roman"/>
          <w:sz w:val="24"/>
          <w:szCs w:val="24"/>
        </w:rPr>
        <w:t xml:space="preserve"> institucij</w:t>
      </w:r>
      <w:r>
        <w:rPr>
          <w:rFonts w:ascii="Times New Roman" w:hAnsi="Times New Roman"/>
          <w:sz w:val="24"/>
          <w:szCs w:val="24"/>
        </w:rPr>
        <w:t>e</w:t>
      </w:r>
      <w:r w:rsidRPr="00EF6254">
        <w:rPr>
          <w:rFonts w:ascii="Times New Roman" w:hAnsi="Times New Roman"/>
          <w:sz w:val="24"/>
          <w:szCs w:val="24"/>
        </w:rPr>
        <w:t xml:space="preserve"> (</w:t>
      </w:r>
      <w:r>
        <w:rPr>
          <w:rFonts w:ascii="Times New Roman" w:hAnsi="Times New Roman"/>
          <w:sz w:val="24"/>
          <w:szCs w:val="24"/>
        </w:rPr>
        <w:t>64</w:t>
      </w:r>
      <w:r w:rsidRPr="00EF6254">
        <w:rPr>
          <w:rFonts w:ascii="Times New Roman" w:hAnsi="Times New Roman"/>
          <w:sz w:val="24"/>
          <w:szCs w:val="24"/>
        </w:rPr>
        <w:t>,</w:t>
      </w:r>
      <w:r>
        <w:rPr>
          <w:rFonts w:ascii="Times New Roman" w:hAnsi="Times New Roman"/>
          <w:sz w:val="24"/>
          <w:szCs w:val="24"/>
        </w:rPr>
        <w:t>62</w:t>
      </w:r>
      <w:r w:rsidRPr="00EF6254">
        <w:rPr>
          <w:rFonts w:ascii="Times New Roman" w:hAnsi="Times New Roman"/>
          <w:sz w:val="24"/>
          <w:szCs w:val="24"/>
        </w:rPr>
        <w:t xml:space="preserve">%). Ovaj dokument </w:t>
      </w:r>
      <w:r w:rsidRPr="00EF6254">
        <w:rPr>
          <w:rFonts w:ascii="Times New Roman" w:eastAsia="Cambria" w:hAnsi="Times New Roman"/>
          <w:color w:val="000000"/>
          <w:sz w:val="24"/>
          <w:szCs w:val="24"/>
        </w:rPr>
        <w:t xml:space="preserve">nije objavilo </w:t>
      </w:r>
      <w:r>
        <w:rPr>
          <w:rFonts w:ascii="Times New Roman" w:eastAsia="Cambria" w:hAnsi="Times New Roman"/>
          <w:color w:val="000000"/>
          <w:sz w:val="24"/>
          <w:szCs w:val="24"/>
        </w:rPr>
        <w:t>35,38</w:t>
      </w:r>
      <w:r w:rsidRPr="00EF6254">
        <w:rPr>
          <w:rFonts w:ascii="Times New Roman" w:hAnsi="Times New Roman"/>
          <w:sz w:val="24"/>
          <w:szCs w:val="24"/>
        </w:rPr>
        <w:t>% institucija. Izvještaje o izvršenju budžeta na web stranicama objavil</w:t>
      </w:r>
      <w:r>
        <w:rPr>
          <w:rFonts w:ascii="Times New Roman" w:hAnsi="Times New Roman"/>
          <w:sz w:val="24"/>
          <w:szCs w:val="24"/>
        </w:rPr>
        <w:t xml:space="preserve">o je </w:t>
      </w:r>
      <w:r w:rsidRPr="00D47297">
        <w:rPr>
          <w:rFonts w:ascii="Times New Roman" w:hAnsi="Times New Roman"/>
          <w:sz w:val="24"/>
          <w:szCs w:val="24"/>
        </w:rPr>
        <w:t>5</w:t>
      </w:r>
      <w:r>
        <w:rPr>
          <w:rFonts w:ascii="Times New Roman" w:hAnsi="Times New Roman"/>
          <w:sz w:val="24"/>
          <w:szCs w:val="24"/>
        </w:rPr>
        <w:t>8</w:t>
      </w:r>
      <w:r w:rsidRPr="00EF6254">
        <w:rPr>
          <w:rFonts w:ascii="Times New Roman" w:hAnsi="Times New Roman"/>
          <w:sz w:val="24"/>
          <w:szCs w:val="24"/>
        </w:rPr>
        <w:t xml:space="preserve"> institucija odnosno </w:t>
      </w:r>
      <w:r>
        <w:rPr>
          <w:rFonts w:ascii="Times New Roman" w:hAnsi="Times New Roman"/>
          <w:sz w:val="24"/>
          <w:szCs w:val="24"/>
        </w:rPr>
        <w:t>89,23</w:t>
      </w:r>
      <w:r w:rsidRPr="00EF6254">
        <w:rPr>
          <w:rFonts w:ascii="Times New Roman" w:hAnsi="Times New Roman"/>
          <w:sz w:val="24"/>
          <w:szCs w:val="24"/>
        </w:rPr>
        <w:t xml:space="preserve">%, dok </w:t>
      </w:r>
      <w:r>
        <w:rPr>
          <w:rFonts w:ascii="Times New Roman" w:hAnsi="Times New Roman"/>
          <w:sz w:val="24"/>
          <w:szCs w:val="24"/>
        </w:rPr>
        <w:t>7</w:t>
      </w:r>
      <w:r w:rsidRPr="00EF6254">
        <w:rPr>
          <w:rFonts w:ascii="Times New Roman" w:hAnsi="Times New Roman"/>
          <w:sz w:val="24"/>
          <w:szCs w:val="24"/>
        </w:rPr>
        <w:t xml:space="preserve"> institucija</w:t>
      </w:r>
      <w:r>
        <w:rPr>
          <w:rFonts w:ascii="Times New Roman" w:hAnsi="Times New Roman"/>
          <w:sz w:val="24"/>
          <w:szCs w:val="24"/>
        </w:rPr>
        <w:t>,</w:t>
      </w:r>
      <w:r w:rsidRPr="00EF6254">
        <w:rPr>
          <w:rFonts w:ascii="Times New Roman" w:hAnsi="Times New Roman"/>
          <w:sz w:val="24"/>
          <w:szCs w:val="24"/>
        </w:rPr>
        <w:t xml:space="preserve"> odnosno </w:t>
      </w:r>
      <w:r>
        <w:rPr>
          <w:rFonts w:ascii="Times New Roman" w:hAnsi="Times New Roman"/>
          <w:sz w:val="24"/>
          <w:szCs w:val="24"/>
        </w:rPr>
        <w:t>10,77</w:t>
      </w:r>
      <w:r w:rsidRPr="00EF6254">
        <w:rPr>
          <w:rFonts w:ascii="Times New Roman" w:hAnsi="Times New Roman"/>
          <w:sz w:val="24"/>
          <w:szCs w:val="24"/>
        </w:rPr>
        <w:t>%</w:t>
      </w:r>
      <w:r>
        <w:rPr>
          <w:rFonts w:ascii="Times New Roman" w:hAnsi="Times New Roman"/>
          <w:sz w:val="24"/>
          <w:szCs w:val="24"/>
        </w:rPr>
        <w:t>,</w:t>
      </w:r>
      <w:r w:rsidRPr="00EF6254">
        <w:rPr>
          <w:rFonts w:ascii="Times New Roman" w:hAnsi="Times New Roman"/>
          <w:sz w:val="24"/>
          <w:szCs w:val="24"/>
        </w:rPr>
        <w:t xml:space="preserve"> nisu objavile navedene dokumente.  </w:t>
      </w:r>
      <w:r>
        <w:rPr>
          <w:rFonts w:ascii="Times New Roman" w:hAnsi="Times New Roman"/>
          <w:sz w:val="24"/>
          <w:szCs w:val="24"/>
        </w:rPr>
        <w:t xml:space="preserve">Revizorske izvještaje </w:t>
      </w:r>
      <w:r w:rsidRPr="00EF6254">
        <w:rPr>
          <w:rFonts w:ascii="Times New Roman" w:hAnsi="Times New Roman"/>
          <w:sz w:val="24"/>
          <w:szCs w:val="24"/>
        </w:rPr>
        <w:t xml:space="preserve"> objavljuje </w:t>
      </w:r>
      <w:r>
        <w:rPr>
          <w:rFonts w:ascii="Times New Roman" w:hAnsi="Times New Roman"/>
          <w:sz w:val="24"/>
          <w:szCs w:val="24"/>
        </w:rPr>
        <w:t xml:space="preserve">39 </w:t>
      </w:r>
      <w:r w:rsidRPr="00EF6254">
        <w:rPr>
          <w:rFonts w:ascii="Times New Roman" w:hAnsi="Times New Roman"/>
          <w:sz w:val="24"/>
          <w:szCs w:val="24"/>
        </w:rPr>
        <w:t>institucija (</w:t>
      </w:r>
      <w:r>
        <w:rPr>
          <w:rFonts w:ascii="Times New Roman" w:hAnsi="Times New Roman"/>
          <w:sz w:val="24"/>
          <w:szCs w:val="24"/>
        </w:rPr>
        <w:t>60</w:t>
      </w:r>
      <w:r w:rsidRPr="00EF6254">
        <w:rPr>
          <w:rFonts w:ascii="Times New Roman" w:hAnsi="Times New Roman"/>
          <w:sz w:val="24"/>
          <w:szCs w:val="24"/>
        </w:rPr>
        <w:t>%).</w:t>
      </w:r>
      <w:r>
        <w:rPr>
          <w:rFonts w:ascii="Times New Roman" w:hAnsi="Times New Roman"/>
          <w:sz w:val="24"/>
          <w:szCs w:val="24"/>
        </w:rPr>
        <w:t xml:space="preserve"> </w:t>
      </w:r>
      <w:r w:rsidRPr="00FF5880">
        <w:rPr>
          <w:rFonts w:ascii="Times New Roman" w:hAnsi="Times New Roman"/>
          <w:sz w:val="24"/>
          <w:szCs w:val="24"/>
        </w:rPr>
        <w:t xml:space="preserve">U odnosu na istraživanja ranijih godina povećao se broj institucija koje objavljuju podatke o ukupnim izdavanjima za imenovana lica, rukovodeće državne službenike, državne službenike i zasposlenike prema pozicijama. Ove podatke objavile su 24 institucije. Njih 63,08 % ne objavljuju ove podatke.  </w:t>
      </w:r>
    </w:p>
    <w:p w14:paraId="702EB5AA" w14:textId="4310D5CC" w:rsidR="00F53AB2" w:rsidRPr="00FF5880" w:rsidRDefault="00956743" w:rsidP="00F53AB2">
      <w:pPr>
        <w:pStyle w:val="ListParagraph"/>
        <w:ind w:left="0"/>
        <w:jc w:val="both"/>
        <w:rPr>
          <w:rFonts w:ascii="Times New Roman" w:hAnsi="Times New Roman"/>
          <w:sz w:val="24"/>
          <w:szCs w:val="24"/>
        </w:rPr>
      </w:pPr>
      <w:r>
        <w:rPr>
          <w:rFonts w:ascii="Times New Roman" w:hAnsi="Times New Roman"/>
          <w:sz w:val="24"/>
          <w:szCs w:val="24"/>
        </w:rPr>
        <w:t>I</w:t>
      </w:r>
      <w:r w:rsidR="00F53AB2" w:rsidRPr="00FF5880">
        <w:rPr>
          <w:rFonts w:ascii="Times New Roman" w:hAnsi="Times New Roman"/>
          <w:sz w:val="24"/>
          <w:szCs w:val="24"/>
        </w:rPr>
        <w:t xml:space="preserve">ako institucije navode da su objavile ove informacije uvidom u sistem evidentno je da su podaci nekih od institucija zastarjeli (npr. </w:t>
      </w:r>
      <w:r>
        <w:rPr>
          <w:rFonts w:ascii="Times New Roman" w:hAnsi="Times New Roman"/>
          <w:sz w:val="24"/>
          <w:szCs w:val="24"/>
        </w:rPr>
        <w:t>z</w:t>
      </w:r>
      <w:r w:rsidR="00F53AB2" w:rsidRPr="00FF5880">
        <w:rPr>
          <w:rFonts w:ascii="Times New Roman" w:hAnsi="Times New Roman"/>
          <w:sz w:val="24"/>
          <w:szCs w:val="24"/>
        </w:rPr>
        <w:t>a 2021. godinu</w:t>
      </w:r>
      <w:r>
        <w:rPr>
          <w:rFonts w:ascii="Times New Roman" w:hAnsi="Times New Roman"/>
          <w:sz w:val="24"/>
          <w:szCs w:val="24"/>
        </w:rPr>
        <w:t>)</w:t>
      </w:r>
      <w:r w:rsidR="00F53AB2" w:rsidRPr="00FF5880">
        <w:rPr>
          <w:rFonts w:ascii="Times New Roman" w:hAnsi="Times New Roman"/>
          <w:sz w:val="24"/>
          <w:szCs w:val="24"/>
        </w:rPr>
        <w:t xml:space="preserve"> ili da su ukupna primanja zaposlenih data bez minulog rada i sa nultim platnim razredom</w:t>
      </w:r>
      <w:r>
        <w:rPr>
          <w:rFonts w:ascii="Times New Roman" w:hAnsi="Times New Roman"/>
          <w:sz w:val="24"/>
          <w:szCs w:val="24"/>
        </w:rPr>
        <w:t>.</w:t>
      </w:r>
    </w:p>
    <w:p w14:paraId="4AFC30FF" w14:textId="77777777" w:rsidR="00F53AB2" w:rsidRDefault="00F53AB2" w:rsidP="00F53AB2">
      <w:pPr>
        <w:pStyle w:val="ListParagraph"/>
        <w:ind w:left="0"/>
        <w:jc w:val="both"/>
        <w:rPr>
          <w:rFonts w:ascii="Times New Roman" w:hAnsi="Times New Roman"/>
          <w:sz w:val="24"/>
          <w:szCs w:val="24"/>
          <w:highlight w:val="yellow"/>
        </w:rPr>
      </w:pPr>
    </w:p>
    <w:p w14:paraId="7D82FECC" w14:textId="6144E4F4" w:rsidR="00F53AB2" w:rsidRPr="002263D5" w:rsidRDefault="00F53AB2" w:rsidP="002263D5">
      <w:pPr>
        <w:pStyle w:val="ListParagraph"/>
        <w:ind w:left="0"/>
        <w:jc w:val="both"/>
        <w:rPr>
          <w:rFonts w:ascii="Times New Roman" w:hAnsi="Times New Roman"/>
          <w:sz w:val="24"/>
          <w:szCs w:val="24"/>
          <w:highlight w:val="yellow"/>
        </w:rPr>
      </w:pPr>
      <w:r>
        <w:rPr>
          <w:rFonts w:ascii="Times New Roman" w:hAnsi="Times New Roman"/>
          <w:noProof/>
          <w:sz w:val="24"/>
          <w:szCs w:val="24"/>
          <w:lang w:eastAsia="bs-Latn-BA"/>
        </w:rPr>
        <w:drawing>
          <wp:inline distT="0" distB="0" distL="0" distR="0" wp14:anchorId="60B6E8DD" wp14:editId="6410431F">
            <wp:extent cx="6153150" cy="293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razivanje2023_1.png"/>
                    <pic:cNvPicPr/>
                  </pic:nvPicPr>
                  <pic:blipFill>
                    <a:blip r:embed="rId8">
                      <a:extLst>
                        <a:ext uri="{28A0092B-C50C-407E-A947-70E740481C1C}">
                          <a14:useLocalDpi xmlns:a14="http://schemas.microsoft.com/office/drawing/2010/main" val="0"/>
                        </a:ext>
                      </a:extLst>
                    </a:blip>
                    <a:stretch>
                      <a:fillRect/>
                    </a:stretch>
                  </pic:blipFill>
                  <pic:spPr>
                    <a:xfrm>
                      <a:off x="0" y="0"/>
                      <a:ext cx="6153150" cy="2933700"/>
                    </a:xfrm>
                    <a:prstGeom prst="rect">
                      <a:avLst/>
                    </a:prstGeom>
                  </pic:spPr>
                </pic:pic>
              </a:graphicData>
            </a:graphic>
          </wp:inline>
        </w:drawing>
      </w:r>
    </w:p>
    <w:p w14:paraId="3223E767" w14:textId="2E9EE6E1" w:rsidR="00F53AB2" w:rsidRPr="002263D5" w:rsidRDefault="00F53AB2" w:rsidP="002263D5">
      <w:pPr>
        <w:jc w:val="center"/>
        <w:rPr>
          <w:i/>
          <w:sz w:val="18"/>
          <w:szCs w:val="18"/>
        </w:rPr>
      </w:pPr>
      <w:r>
        <w:rPr>
          <w:i/>
          <w:sz w:val="18"/>
          <w:szCs w:val="18"/>
        </w:rPr>
        <w:t>Graf</w:t>
      </w:r>
      <w:r w:rsidRPr="002906A5">
        <w:rPr>
          <w:i/>
          <w:sz w:val="18"/>
          <w:szCs w:val="18"/>
        </w:rPr>
        <w:t xml:space="preserve"> 1 - </w:t>
      </w:r>
      <w:r>
        <w:rPr>
          <w:i/>
          <w:sz w:val="18"/>
          <w:szCs w:val="18"/>
        </w:rPr>
        <w:t>Procentualni prikaz ispunjenosti standarda iz oblasti: Finansijske informacije</w:t>
      </w:r>
    </w:p>
    <w:p w14:paraId="2671171D" w14:textId="77777777" w:rsidR="00F53AB2" w:rsidRDefault="00F53AB2" w:rsidP="00F53AB2">
      <w:pPr>
        <w:tabs>
          <w:tab w:val="left" w:pos="4019"/>
        </w:tabs>
        <w:jc w:val="both"/>
      </w:pPr>
    </w:p>
    <w:p w14:paraId="2EA6F204" w14:textId="2CC05DC0" w:rsidR="00F53AB2" w:rsidRDefault="00F53AB2" w:rsidP="00F53AB2">
      <w:pPr>
        <w:tabs>
          <w:tab w:val="left" w:pos="4019"/>
        </w:tabs>
        <w:jc w:val="both"/>
      </w:pPr>
    </w:p>
    <w:p w14:paraId="559F440A" w14:textId="77777777" w:rsidR="00F53AB2" w:rsidRPr="00741D33" w:rsidRDefault="00F53AB2" w:rsidP="00F53AB2">
      <w:pPr>
        <w:pStyle w:val="ListParagraph"/>
        <w:tabs>
          <w:tab w:val="left" w:pos="3751"/>
        </w:tabs>
        <w:ind w:left="0"/>
        <w:jc w:val="center"/>
        <w:rPr>
          <w:rFonts w:ascii="Times New Roman" w:hAnsi="Times New Roman"/>
          <w:b/>
          <w:sz w:val="24"/>
          <w:szCs w:val="24"/>
          <w:u w:val="single"/>
        </w:rPr>
      </w:pPr>
      <w:r w:rsidRPr="00741D33">
        <w:rPr>
          <w:rFonts w:ascii="Times New Roman" w:hAnsi="Times New Roman"/>
          <w:b/>
          <w:sz w:val="24"/>
          <w:szCs w:val="24"/>
          <w:u w:val="single"/>
        </w:rPr>
        <w:t>Informacije o javnim nabavkama</w:t>
      </w:r>
    </w:p>
    <w:p w14:paraId="5A022380" w14:textId="77777777" w:rsidR="00F53AB2" w:rsidRDefault="00F53AB2" w:rsidP="00F53AB2">
      <w:pPr>
        <w:pStyle w:val="ListParagraph"/>
        <w:tabs>
          <w:tab w:val="left" w:pos="3751"/>
        </w:tabs>
        <w:spacing w:after="0"/>
        <w:ind w:left="0"/>
        <w:jc w:val="center"/>
        <w:rPr>
          <w:rFonts w:ascii="Times New Roman" w:hAnsi="Times New Roman"/>
          <w:i/>
          <w:sz w:val="18"/>
          <w:szCs w:val="18"/>
          <w:u w:val="single"/>
        </w:rPr>
      </w:pPr>
    </w:p>
    <w:p w14:paraId="1F18C69C" w14:textId="77777777" w:rsidR="00F53AB2" w:rsidRPr="00012B6A" w:rsidRDefault="00F53AB2" w:rsidP="00F53AB2">
      <w:pPr>
        <w:pStyle w:val="ListParagraph"/>
        <w:tabs>
          <w:tab w:val="left" w:pos="3751"/>
        </w:tabs>
        <w:spacing w:after="0"/>
        <w:ind w:left="0"/>
        <w:jc w:val="center"/>
        <w:rPr>
          <w:rFonts w:ascii="Times New Roman" w:hAnsi="Times New Roman"/>
          <w:i/>
          <w:sz w:val="18"/>
          <w:szCs w:val="18"/>
          <w:u w:val="single"/>
        </w:rPr>
      </w:pPr>
      <w:r w:rsidRPr="00012B6A">
        <w:rPr>
          <w:rFonts w:ascii="Times New Roman" w:hAnsi="Times New Roman"/>
          <w:i/>
          <w:sz w:val="18"/>
          <w:szCs w:val="18"/>
          <w:u w:val="single"/>
        </w:rPr>
        <w:t>(</w:t>
      </w:r>
      <w:r w:rsidRPr="00012B6A">
        <w:rPr>
          <w:rFonts w:ascii="Times New Roman" w:eastAsia="Cambria" w:hAnsi="Times New Roman"/>
          <w:i/>
          <w:color w:val="000000"/>
          <w:sz w:val="18"/>
          <w:szCs w:val="18"/>
        </w:rPr>
        <w:t>Plan javnih nabavki, Pozivi za javnu nabavku, Odluka o izboru ponuđača/poništenju postupka, u skladu sa Zakonom o javnim nabavkama, Odluka o izboru ponuđača/poništenju postupka, uključujući za ugovore male vrijednosti, Izvještaj o realizaciji ugovora (lista osnovih elemenata), Godišnji plan javnih nabavki koji sadrži postupke malih vrijednosti, Tenderska dokumentacija nakon provedenog postupka i Zaključeni ugovori uz zaštitu povjerljivih informacija)</w:t>
      </w:r>
    </w:p>
    <w:p w14:paraId="148811BC" w14:textId="77777777" w:rsidR="00F53AB2" w:rsidRDefault="00F53AB2" w:rsidP="00F53AB2">
      <w:pPr>
        <w:tabs>
          <w:tab w:val="left" w:pos="4019"/>
        </w:tabs>
        <w:jc w:val="both"/>
      </w:pPr>
    </w:p>
    <w:p w14:paraId="431D2294" w14:textId="77777777" w:rsidR="00F53AB2" w:rsidRDefault="00F53AB2" w:rsidP="00F53AB2">
      <w:pPr>
        <w:tabs>
          <w:tab w:val="left" w:pos="4019"/>
        </w:tabs>
        <w:jc w:val="both"/>
      </w:pPr>
    </w:p>
    <w:p w14:paraId="4FC453F8" w14:textId="77E6CCF2" w:rsidR="00F53AB2" w:rsidRPr="00FF5880" w:rsidRDefault="00F53AB2" w:rsidP="00F53AB2">
      <w:pPr>
        <w:spacing w:line="276" w:lineRule="auto"/>
        <w:jc w:val="both"/>
      </w:pPr>
      <w:r w:rsidRPr="00741D33">
        <w:t xml:space="preserve">Plan javnih nabavki </w:t>
      </w:r>
      <w:r>
        <w:t>na svojim web stranicama objavilo je 60 institucija, odnosno 92,31 % institucija</w:t>
      </w:r>
      <w:r w:rsidRPr="00741D33">
        <w:t xml:space="preserve">, a </w:t>
      </w:r>
      <w:r>
        <w:t xml:space="preserve">pozive za javnu nabavku 54 institucije. </w:t>
      </w:r>
      <w:r w:rsidRPr="00FF5880">
        <w:t>Odluke o izboru ponuđača/poništenju postupka u skladu sa zakonom o javnim nabavkama BiH objavljuje 92,31 posto institucija, a odluke o izboru ponuđača/poništenju postupka uključujući ugovore male vrijednosti objavljuje 83,08 institucija. Izvještaje o realizaciji ugovora objavljuje 55 institucija, a godišnji plan javnih nabavki koji sadrži postupke malih vrijednosti 78,46 posto ispitanih. I dalje je zabilježen trend neobjavljivanja tenderskih dokumentacija nakon provedenog postopka (objavilo 26 institucija) i zaključenih ugovora uz zaštitu povjerljivih informacija (22 institucije)</w:t>
      </w:r>
      <w:r w:rsidR="00956743">
        <w:t>.</w:t>
      </w:r>
      <w:r w:rsidRPr="00FF5880">
        <w:t xml:space="preserve">  </w:t>
      </w:r>
    </w:p>
    <w:p w14:paraId="2FC436BA" w14:textId="2D49EBAC" w:rsidR="00F53AB2" w:rsidRDefault="00F53AB2" w:rsidP="00F53AB2">
      <w:pPr>
        <w:tabs>
          <w:tab w:val="left" w:pos="4019"/>
        </w:tabs>
        <w:jc w:val="both"/>
      </w:pPr>
    </w:p>
    <w:p w14:paraId="3E14E446" w14:textId="61149689" w:rsidR="00F53AB2" w:rsidRDefault="00F53AB2" w:rsidP="00F53AB2">
      <w:pPr>
        <w:tabs>
          <w:tab w:val="left" w:pos="4019"/>
        </w:tabs>
        <w:jc w:val="both"/>
      </w:pPr>
      <w:r>
        <w:rPr>
          <w:noProof/>
          <w:lang w:val="bs-Latn-BA" w:eastAsia="bs-Latn-BA"/>
        </w:rPr>
        <w:drawing>
          <wp:inline distT="0" distB="0" distL="0" distR="0" wp14:anchorId="5EEBD81F" wp14:editId="18CF11A1">
            <wp:extent cx="6153150" cy="3284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razivanje2023_2.png"/>
                    <pic:cNvPicPr/>
                  </pic:nvPicPr>
                  <pic:blipFill>
                    <a:blip r:embed="rId9">
                      <a:extLst>
                        <a:ext uri="{28A0092B-C50C-407E-A947-70E740481C1C}">
                          <a14:useLocalDpi xmlns:a14="http://schemas.microsoft.com/office/drawing/2010/main" val="0"/>
                        </a:ext>
                      </a:extLst>
                    </a:blip>
                    <a:stretch>
                      <a:fillRect/>
                    </a:stretch>
                  </pic:blipFill>
                  <pic:spPr>
                    <a:xfrm>
                      <a:off x="0" y="0"/>
                      <a:ext cx="6153150" cy="3284855"/>
                    </a:xfrm>
                    <a:prstGeom prst="rect">
                      <a:avLst/>
                    </a:prstGeom>
                  </pic:spPr>
                </pic:pic>
              </a:graphicData>
            </a:graphic>
          </wp:inline>
        </w:drawing>
      </w:r>
    </w:p>
    <w:p w14:paraId="4286141E" w14:textId="77777777" w:rsidR="00F53AB2" w:rsidRDefault="00F53AB2" w:rsidP="00F53AB2">
      <w:pPr>
        <w:jc w:val="center"/>
        <w:rPr>
          <w:i/>
          <w:sz w:val="18"/>
          <w:szCs w:val="18"/>
        </w:rPr>
      </w:pPr>
      <w:r>
        <w:rPr>
          <w:i/>
          <w:sz w:val="18"/>
          <w:szCs w:val="18"/>
        </w:rPr>
        <w:t>Graf</w:t>
      </w:r>
      <w:r w:rsidRPr="002906A5">
        <w:rPr>
          <w:i/>
          <w:sz w:val="18"/>
          <w:szCs w:val="18"/>
        </w:rPr>
        <w:t xml:space="preserve"> </w:t>
      </w:r>
      <w:r>
        <w:rPr>
          <w:i/>
          <w:sz w:val="18"/>
          <w:szCs w:val="18"/>
        </w:rPr>
        <w:t>2</w:t>
      </w:r>
      <w:r w:rsidRPr="002906A5">
        <w:rPr>
          <w:i/>
          <w:sz w:val="18"/>
          <w:szCs w:val="18"/>
        </w:rPr>
        <w:t xml:space="preserve"> - </w:t>
      </w:r>
      <w:r>
        <w:rPr>
          <w:i/>
          <w:sz w:val="18"/>
          <w:szCs w:val="18"/>
        </w:rPr>
        <w:t xml:space="preserve">Procentualni prikaz ispunjenosti standarda iz oblasti: </w:t>
      </w:r>
      <w:r w:rsidRPr="002906A5">
        <w:rPr>
          <w:i/>
          <w:sz w:val="18"/>
          <w:szCs w:val="18"/>
        </w:rPr>
        <w:t>Informacije o javnim nabavkama</w:t>
      </w:r>
    </w:p>
    <w:p w14:paraId="2CBE8FB4" w14:textId="77777777" w:rsidR="00F53AB2" w:rsidRPr="002263D5" w:rsidRDefault="00F53AB2" w:rsidP="00F53AB2">
      <w:pPr>
        <w:jc w:val="center"/>
      </w:pPr>
    </w:p>
    <w:p w14:paraId="7450BF31" w14:textId="61CC38DC" w:rsidR="00F53AB2" w:rsidRPr="002263D5" w:rsidRDefault="00F53AB2" w:rsidP="002263D5"/>
    <w:p w14:paraId="58C3AC9E" w14:textId="77777777" w:rsidR="00F53AB2" w:rsidRPr="00741D33" w:rsidRDefault="00F53AB2" w:rsidP="00F53AB2">
      <w:pPr>
        <w:jc w:val="center"/>
        <w:rPr>
          <w:b/>
          <w:u w:val="single"/>
        </w:rPr>
      </w:pPr>
      <w:r w:rsidRPr="00741D33">
        <w:rPr>
          <w:b/>
          <w:u w:val="single"/>
        </w:rPr>
        <w:t>Sloboda pristupa informacijama</w:t>
      </w:r>
    </w:p>
    <w:p w14:paraId="65C1FFF0" w14:textId="77777777" w:rsidR="00F53AB2" w:rsidRDefault="00F53AB2" w:rsidP="00F53AB2">
      <w:pPr>
        <w:pStyle w:val="ListParagraph"/>
        <w:tabs>
          <w:tab w:val="left" w:pos="3751"/>
        </w:tabs>
        <w:spacing w:after="0"/>
        <w:ind w:left="0"/>
        <w:jc w:val="center"/>
        <w:rPr>
          <w:rFonts w:ascii="Times New Roman" w:hAnsi="Times New Roman"/>
          <w:sz w:val="18"/>
          <w:szCs w:val="18"/>
          <w:u w:val="single"/>
        </w:rPr>
      </w:pPr>
    </w:p>
    <w:p w14:paraId="5E849285" w14:textId="77777777" w:rsidR="00F53AB2" w:rsidRDefault="00F53AB2" w:rsidP="00F53AB2">
      <w:pPr>
        <w:pStyle w:val="ListParagraph"/>
        <w:tabs>
          <w:tab w:val="left" w:pos="3751"/>
        </w:tabs>
        <w:spacing w:after="0"/>
        <w:ind w:left="0"/>
        <w:jc w:val="center"/>
        <w:rPr>
          <w:rFonts w:ascii="Times New Roman" w:eastAsia="Cambria" w:hAnsi="Times New Roman"/>
          <w:color w:val="000000"/>
          <w:sz w:val="18"/>
          <w:szCs w:val="18"/>
        </w:rPr>
      </w:pPr>
      <w:r w:rsidRPr="00EF6254">
        <w:rPr>
          <w:rFonts w:ascii="Times New Roman" w:hAnsi="Times New Roman"/>
          <w:sz w:val="18"/>
          <w:szCs w:val="18"/>
          <w:u w:val="single"/>
        </w:rPr>
        <w:t>(</w:t>
      </w:r>
      <w:r w:rsidRPr="00EF6254">
        <w:rPr>
          <w:rFonts w:ascii="Times New Roman" w:eastAsia="Cambria" w:hAnsi="Times New Roman"/>
          <w:color w:val="000000"/>
          <w:sz w:val="18"/>
          <w:szCs w:val="18"/>
        </w:rPr>
        <w:t>Index registar, Vodič za pristup informacijama, Zahtjev za pristup informacijama, Odgovori po zahtjevima, uz zaštitu povjerljivih informacija )</w:t>
      </w:r>
    </w:p>
    <w:p w14:paraId="1EF5ED95" w14:textId="77777777" w:rsidR="00F53AB2" w:rsidRDefault="00F53AB2" w:rsidP="00F53AB2">
      <w:pPr>
        <w:pStyle w:val="ListParagraph"/>
        <w:tabs>
          <w:tab w:val="left" w:pos="3751"/>
        </w:tabs>
        <w:spacing w:after="0"/>
        <w:ind w:left="0"/>
        <w:jc w:val="center"/>
        <w:rPr>
          <w:rFonts w:ascii="Times New Roman" w:eastAsia="Cambria" w:hAnsi="Times New Roman"/>
          <w:color w:val="000000"/>
          <w:sz w:val="18"/>
          <w:szCs w:val="18"/>
        </w:rPr>
      </w:pPr>
    </w:p>
    <w:p w14:paraId="5D817A43" w14:textId="6C5157F2" w:rsidR="00F53AB2" w:rsidRDefault="00F53AB2" w:rsidP="00F53AB2">
      <w:pPr>
        <w:pStyle w:val="ListParagraph"/>
        <w:tabs>
          <w:tab w:val="left" w:pos="3751"/>
        </w:tabs>
        <w:ind w:left="0"/>
        <w:jc w:val="both"/>
        <w:rPr>
          <w:rFonts w:ascii="Times New Roman" w:hAnsi="Times New Roman"/>
          <w:sz w:val="24"/>
          <w:szCs w:val="24"/>
        </w:rPr>
      </w:pPr>
      <w:r>
        <w:rPr>
          <w:rFonts w:ascii="Times New Roman" w:hAnsi="Times New Roman"/>
          <w:sz w:val="24"/>
          <w:szCs w:val="24"/>
        </w:rPr>
        <w:t>U skladu sa Zakonom o slobodi pristupa informacijama BiH većina institucija objavila je na web stranicama Index registar informacija pod kontrolom javnog organa (57 institucija), Vodič za pristup informacijama (60) i zahtjev za pristup informacijama (59). Institucije BiH i dalje ne objavljuju odgovore koje su dostavljale po zahtjevima za slobodan pristup informacijama. Svega 36,92 posto institucija objavljuju ove podatke (njih</w:t>
      </w:r>
      <w:r w:rsidR="002263D5">
        <w:rPr>
          <w:rFonts w:ascii="Times New Roman" w:hAnsi="Times New Roman"/>
          <w:sz w:val="24"/>
          <w:szCs w:val="24"/>
        </w:rPr>
        <w:t xml:space="preserve"> 24)</w:t>
      </w:r>
      <w:r w:rsidR="00956743">
        <w:rPr>
          <w:rFonts w:ascii="Times New Roman" w:hAnsi="Times New Roman"/>
          <w:sz w:val="24"/>
          <w:szCs w:val="24"/>
        </w:rPr>
        <w:t>.</w:t>
      </w:r>
      <w:r w:rsidR="002263D5">
        <w:rPr>
          <w:rFonts w:ascii="Times New Roman" w:hAnsi="Times New Roman"/>
          <w:sz w:val="24"/>
          <w:szCs w:val="24"/>
        </w:rPr>
        <w:t xml:space="preserve"> </w:t>
      </w:r>
    </w:p>
    <w:p w14:paraId="12E9C7F4" w14:textId="21981AAB" w:rsidR="00F53AB2" w:rsidRPr="002263D5" w:rsidRDefault="00F53AB2" w:rsidP="002263D5">
      <w:pPr>
        <w:pStyle w:val="ListParagraph"/>
        <w:tabs>
          <w:tab w:val="left" w:pos="3751"/>
        </w:tabs>
        <w:ind w:left="0"/>
        <w:jc w:val="both"/>
        <w:rPr>
          <w:rFonts w:ascii="Times New Roman" w:hAnsi="Times New Roman"/>
          <w:sz w:val="24"/>
          <w:szCs w:val="24"/>
        </w:rPr>
      </w:pPr>
      <w:r>
        <w:rPr>
          <w:noProof/>
          <w:lang w:eastAsia="bs-Latn-BA"/>
        </w:rPr>
        <w:drawing>
          <wp:inline distT="0" distB="0" distL="0" distR="0" wp14:anchorId="5AE40456" wp14:editId="78872F94">
            <wp:extent cx="6153150" cy="2136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razivanje2023_3.png"/>
                    <pic:cNvPicPr/>
                  </pic:nvPicPr>
                  <pic:blipFill>
                    <a:blip r:embed="rId10">
                      <a:extLst>
                        <a:ext uri="{28A0092B-C50C-407E-A947-70E740481C1C}">
                          <a14:useLocalDpi xmlns:a14="http://schemas.microsoft.com/office/drawing/2010/main" val="0"/>
                        </a:ext>
                      </a:extLst>
                    </a:blip>
                    <a:stretch>
                      <a:fillRect/>
                    </a:stretch>
                  </pic:blipFill>
                  <pic:spPr>
                    <a:xfrm>
                      <a:off x="0" y="0"/>
                      <a:ext cx="6153150" cy="2136140"/>
                    </a:xfrm>
                    <a:prstGeom prst="rect">
                      <a:avLst/>
                    </a:prstGeom>
                  </pic:spPr>
                </pic:pic>
              </a:graphicData>
            </a:graphic>
          </wp:inline>
        </w:drawing>
      </w:r>
    </w:p>
    <w:p w14:paraId="2DA88946" w14:textId="77777777" w:rsidR="00F53AB2" w:rsidRDefault="00F53AB2" w:rsidP="00F53AB2">
      <w:pPr>
        <w:jc w:val="center"/>
        <w:rPr>
          <w:i/>
          <w:sz w:val="18"/>
          <w:szCs w:val="18"/>
        </w:rPr>
      </w:pPr>
      <w:r>
        <w:rPr>
          <w:i/>
          <w:sz w:val="18"/>
          <w:szCs w:val="18"/>
        </w:rPr>
        <w:t>Graf</w:t>
      </w:r>
      <w:r w:rsidRPr="002906A5">
        <w:rPr>
          <w:i/>
          <w:sz w:val="18"/>
          <w:szCs w:val="18"/>
        </w:rPr>
        <w:t xml:space="preserve"> </w:t>
      </w:r>
      <w:r>
        <w:rPr>
          <w:i/>
          <w:sz w:val="18"/>
          <w:szCs w:val="18"/>
        </w:rPr>
        <w:t>3</w:t>
      </w:r>
      <w:r w:rsidRPr="002906A5">
        <w:rPr>
          <w:i/>
          <w:sz w:val="18"/>
          <w:szCs w:val="18"/>
        </w:rPr>
        <w:t xml:space="preserve"> - </w:t>
      </w:r>
      <w:r>
        <w:rPr>
          <w:i/>
          <w:sz w:val="18"/>
          <w:szCs w:val="18"/>
        </w:rPr>
        <w:t xml:space="preserve">Procentualni prikaz ispunjenosti standarda iz oblasti: </w:t>
      </w:r>
      <w:r w:rsidRPr="00191A40">
        <w:rPr>
          <w:i/>
          <w:sz w:val="18"/>
          <w:szCs w:val="18"/>
        </w:rPr>
        <w:t>Sloboda pristupa informacijama</w:t>
      </w:r>
    </w:p>
    <w:p w14:paraId="35A70DA9" w14:textId="77777777" w:rsidR="00F53AB2" w:rsidRPr="002263D5" w:rsidRDefault="00F53AB2" w:rsidP="00F53AB2">
      <w:pPr>
        <w:jc w:val="center"/>
        <w:rPr>
          <w:i/>
        </w:rPr>
      </w:pPr>
    </w:p>
    <w:p w14:paraId="64C3CDF4" w14:textId="77777777" w:rsidR="00F53AB2" w:rsidRPr="002263D5" w:rsidRDefault="00F53AB2" w:rsidP="00F53AB2">
      <w:pPr>
        <w:jc w:val="center"/>
        <w:rPr>
          <w:i/>
        </w:rPr>
      </w:pPr>
    </w:p>
    <w:p w14:paraId="46C1075F" w14:textId="77777777" w:rsidR="00F53AB2" w:rsidRPr="00741D33" w:rsidRDefault="00F53AB2" w:rsidP="00F53AB2">
      <w:pPr>
        <w:pStyle w:val="ListParagraph"/>
        <w:tabs>
          <w:tab w:val="left" w:pos="3751"/>
        </w:tabs>
        <w:ind w:left="0"/>
        <w:jc w:val="center"/>
        <w:rPr>
          <w:rFonts w:ascii="Times New Roman" w:hAnsi="Times New Roman"/>
          <w:b/>
          <w:sz w:val="24"/>
          <w:szCs w:val="24"/>
          <w:u w:val="single"/>
        </w:rPr>
      </w:pPr>
      <w:r w:rsidRPr="00741D33">
        <w:rPr>
          <w:rFonts w:ascii="Times New Roman" w:hAnsi="Times New Roman"/>
          <w:b/>
          <w:sz w:val="24"/>
          <w:szCs w:val="24"/>
          <w:u w:val="single"/>
        </w:rPr>
        <w:t>Javne konsultacije</w:t>
      </w:r>
    </w:p>
    <w:p w14:paraId="76449968" w14:textId="77777777" w:rsidR="00F53AB2" w:rsidRPr="00012B6A" w:rsidRDefault="00F53AB2" w:rsidP="00F53AB2">
      <w:pPr>
        <w:pStyle w:val="ListParagraph"/>
        <w:tabs>
          <w:tab w:val="left" w:pos="3751"/>
        </w:tabs>
        <w:ind w:left="0"/>
        <w:jc w:val="center"/>
        <w:rPr>
          <w:rFonts w:ascii="Times New Roman" w:hAnsi="Times New Roman"/>
          <w:i/>
          <w:sz w:val="16"/>
          <w:szCs w:val="16"/>
          <w:u w:val="single"/>
        </w:rPr>
      </w:pPr>
    </w:p>
    <w:p w14:paraId="40BE1913" w14:textId="77777777" w:rsidR="00F53AB2" w:rsidRPr="00012B6A" w:rsidRDefault="00F53AB2" w:rsidP="00F53AB2">
      <w:pPr>
        <w:pStyle w:val="ListParagraph"/>
        <w:tabs>
          <w:tab w:val="left" w:pos="3751"/>
        </w:tabs>
        <w:ind w:left="0"/>
        <w:jc w:val="center"/>
        <w:rPr>
          <w:rFonts w:ascii="Times New Roman" w:eastAsia="Cambria" w:hAnsi="Times New Roman"/>
          <w:i/>
          <w:color w:val="000000"/>
          <w:sz w:val="18"/>
          <w:szCs w:val="18"/>
        </w:rPr>
      </w:pPr>
      <w:r w:rsidRPr="00012B6A">
        <w:rPr>
          <w:rFonts w:ascii="Times New Roman" w:hAnsi="Times New Roman"/>
          <w:i/>
          <w:sz w:val="18"/>
          <w:szCs w:val="18"/>
          <w:u w:val="single"/>
        </w:rPr>
        <w:t>(</w:t>
      </w:r>
      <w:r w:rsidRPr="00012B6A">
        <w:rPr>
          <w:rFonts w:ascii="Times New Roman" w:eastAsia="Cambria" w:hAnsi="Times New Roman"/>
          <w:i/>
          <w:color w:val="000000"/>
          <w:sz w:val="18"/>
          <w:szCs w:val="18"/>
        </w:rPr>
        <w:t>Dokumenti za javne konsultacije i Izjava o obavljenim konsultacijama koja sadrži sažetak komentara i izvještaj o njihovom prihvatanju ili odbijanju)</w:t>
      </w:r>
    </w:p>
    <w:p w14:paraId="57D4D620" w14:textId="77777777" w:rsidR="00F53AB2" w:rsidRPr="00741D33" w:rsidRDefault="00F53AB2" w:rsidP="00F53AB2">
      <w:pPr>
        <w:spacing w:line="276" w:lineRule="auto"/>
        <w:jc w:val="both"/>
        <w:rPr>
          <w:bCs/>
          <w:lang w:val="bs-Latn-BA"/>
        </w:rPr>
      </w:pPr>
      <w:r w:rsidRPr="00FF5880">
        <w:t>Dokumente za javne konsultacije, kako navode, ne objavljuje 23 institucija dok 35 institucija na zvaničnim web stranicama ne objavljuje i</w:t>
      </w:r>
      <w:r w:rsidRPr="00FF5880">
        <w:rPr>
          <w:bCs/>
          <w:lang w:val="bs-Latn-BA"/>
        </w:rPr>
        <w:t>zjave o obavljenim konsultacijama koja sadrži sažetak komentara i izvještaj o njihovom prihvatanju ili odbijanju.</w:t>
      </w:r>
      <w:r w:rsidRPr="00741D33">
        <w:rPr>
          <w:bCs/>
          <w:lang w:val="bs-Latn-BA"/>
        </w:rPr>
        <w:t xml:space="preserve"> </w:t>
      </w:r>
    </w:p>
    <w:p w14:paraId="1B277CDE" w14:textId="77777777" w:rsidR="00F53AB2" w:rsidRDefault="00F53AB2" w:rsidP="00F53AB2">
      <w:pPr>
        <w:pStyle w:val="ListParagraph"/>
        <w:tabs>
          <w:tab w:val="left" w:pos="3751"/>
        </w:tabs>
        <w:ind w:left="0"/>
        <w:jc w:val="both"/>
        <w:rPr>
          <w:rFonts w:ascii="Times New Roman" w:hAnsi="Times New Roman"/>
        </w:rPr>
      </w:pPr>
    </w:p>
    <w:p w14:paraId="4C37B93E" w14:textId="3BB53C99" w:rsidR="00F53AB2" w:rsidRPr="002263D5" w:rsidRDefault="00F53AB2" w:rsidP="002263D5">
      <w:pPr>
        <w:pStyle w:val="ListParagraph"/>
        <w:tabs>
          <w:tab w:val="left" w:pos="3751"/>
        </w:tabs>
        <w:ind w:left="0"/>
        <w:jc w:val="both"/>
        <w:rPr>
          <w:rFonts w:ascii="Times New Roman" w:hAnsi="Times New Roman"/>
        </w:rPr>
      </w:pPr>
      <w:r>
        <w:rPr>
          <w:rFonts w:ascii="Times New Roman" w:hAnsi="Times New Roman"/>
          <w:noProof/>
          <w:sz w:val="24"/>
          <w:szCs w:val="24"/>
          <w:u w:val="single"/>
          <w:lang w:eastAsia="bs-Latn-BA"/>
        </w:rPr>
        <w:drawing>
          <wp:inline distT="0" distB="0" distL="0" distR="0" wp14:anchorId="753946E2" wp14:editId="316151B3">
            <wp:extent cx="6153150" cy="1579245"/>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strazivanje2023_4.png"/>
                    <pic:cNvPicPr/>
                  </pic:nvPicPr>
                  <pic:blipFill>
                    <a:blip r:embed="rId11">
                      <a:extLst>
                        <a:ext uri="{28A0092B-C50C-407E-A947-70E740481C1C}">
                          <a14:useLocalDpi xmlns:a14="http://schemas.microsoft.com/office/drawing/2010/main" val="0"/>
                        </a:ext>
                      </a:extLst>
                    </a:blip>
                    <a:stretch>
                      <a:fillRect/>
                    </a:stretch>
                  </pic:blipFill>
                  <pic:spPr>
                    <a:xfrm>
                      <a:off x="0" y="0"/>
                      <a:ext cx="6153150" cy="1579245"/>
                    </a:xfrm>
                    <a:prstGeom prst="rect">
                      <a:avLst/>
                    </a:prstGeom>
                  </pic:spPr>
                </pic:pic>
              </a:graphicData>
            </a:graphic>
          </wp:inline>
        </w:drawing>
      </w:r>
    </w:p>
    <w:p w14:paraId="10CA59AA" w14:textId="77777777" w:rsidR="00F53AB2" w:rsidRDefault="00F53AB2" w:rsidP="00F53AB2">
      <w:pPr>
        <w:jc w:val="center"/>
        <w:rPr>
          <w:i/>
          <w:sz w:val="18"/>
          <w:szCs w:val="18"/>
        </w:rPr>
      </w:pPr>
      <w:r>
        <w:rPr>
          <w:i/>
          <w:sz w:val="18"/>
          <w:szCs w:val="18"/>
        </w:rPr>
        <w:t>Graf</w:t>
      </w:r>
      <w:r w:rsidRPr="002906A5">
        <w:rPr>
          <w:i/>
          <w:sz w:val="18"/>
          <w:szCs w:val="18"/>
        </w:rPr>
        <w:t xml:space="preserve"> </w:t>
      </w:r>
      <w:r>
        <w:rPr>
          <w:i/>
          <w:sz w:val="18"/>
          <w:szCs w:val="18"/>
        </w:rPr>
        <w:t>4</w:t>
      </w:r>
      <w:r w:rsidRPr="002906A5">
        <w:rPr>
          <w:i/>
          <w:sz w:val="18"/>
          <w:szCs w:val="18"/>
        </w:rPr>
        <w:t xml:space="preserve"> - </w:t>
      </w:r>
      <w:r>
        <w:rPr>
          <w:i/>
          <w:sz w:val="18"/>
          <w:szCs w:val="18"/>
        </w:rPr>
        <w:t>Procentualni prikaz ispunjenosti standarda iz</w:t>
      </w:r>
      <w:r>
        <w:rPr>
          <w:i/>
          <w:sz w:val="18"/>
          <w:szCs w:val="18"/>
        </w:rPr>
        <w:softHyphen/>
        <w:t xml:space="preserve"> oblasti: </w:t>
      </w:r>
      <w:r w:rsidRPr="00DA146B">
        <w:rPr>
          <w:i/>
          <w:sz w:val="18"/>
          <w:szCs w:val="18"/>
        </w:rPr>
        <w:t>Javne konsultacije</w:t>
      </w:r>
    </w:p>
    <w:p w14:paraId="3DDE95F1" w14:textId="77777777" w:rsidR="00F53AB2" w:rsidRPr="002263D5" w:rsidRDefault="00F53AB2" w:rsidP="00F53AB2">
      <w:pPr>
        <w:jc w:val="center"/>
        <w:rPr>
          <w:i/>
        </w:rPr>
      </w:pPr>
    </w:p>
    <w:p w14:paraId="6C1F0C19" w14:textId="374A3E69" w:rsidR="00F53AB2" w:rsidRPr="002263D5" w:rsidRDefault="00F53AB2" w:rsidP="002263D5">
      <w:pPr>
        <w:rPr>
          <w:i/>
        </w:rPr>
      </w:pPr>
    </w:p>
    <w:p w14:paraId="7E2007B9" w14:textId="77777777" w:rsidR="00F53AB2" w:rsidRPr="00741D33" w:rsidRDefault="00F53AB2" w:rsidP="00F53AB2">
      <w:pPr>
        <w:pStyle w:val="ListParagraph"/>
        <w:tabs>
          <w:tab w:val="left" w:pos="3751"/>
        </w:tabs>
        <w:ind w:left="0"/>
        <w:jc w:val="center"/>
        <w:rPr>
          <w:rFonts w:ascii="Times New Roman" w:hAnsi="Times New Roman"/>
          <w:b/>
          <w:sz w:val="24"/>
          <w:szCs w:val="24"/>
          <w:u w:val="single"/>
        </w:rPr>
      </w:pPr>
      <w:r w:rsidRPr="00741D33">
        <w:rPr>
          <w:rFonts w:ascii="Times New Roman" w:hAnsi="Times New Roman"/>
          <w:b/>
          <w:sz w:val="24"/>
          <w:szCs w:val="24"/>
          <w:u w:val="single"/>
        </w:rPr>
        <w:t>Strateške informacije</w:t>
      </w:r>
    </w:p>
    <w:p w14:paraId="2DD55319" w14:textId="77777777" w:rsidR="00F53AB2" w:rsidRPr="00741D33" w:rsidRDefault="00F53AB2" w:rsidP="00F53AB2">
      <w:pPr>
        <w:pStyle w:val="ListParagraph"/>
        <w:tabs>
          <w:tab w:val="left" w:pos="3751"/>
        </w:tabs>
        <w:ind w:left="0"/>
        <w:jc w:val="center"/>
        <w:rPr>
          <w:rFonts w:ascii="Times New Roman" w:eastAsia="Cambria" w:hAnsi="Times New Roman"/>
          <w:b/>
          <w:color w:val="000000"/>
          <w:sz w:val="18"/>
          <w:szCs w:val="18"/>
        </w:rPr>
      </w:pPr>
    </w:p>
    <w:p w14:paraId="6BE1A88B" w14:textId="77777777" w:rsidR="00F53AB2" w:rsidRPr="00012B6A" w:rsidRDefault="00F53AB2" w:rsidP="00F53AB2">
      <w:pPr>
        <w:pStyle w:val="ListParagraph"/>
        <w:tabs>
          <w:tab w:val="left" w:pos="3751"/>
        </w:tabs>
        <w:ind w:left="0"/>
        <w:jc w:val="center"/>
        <w:rPr>
          <w:rFonts w:ascii="Times New Roman" w:eastAsia="Cambria" w:hAnsi="Times New Roman"/>
          <w:i/>
          <w:color w:val="000000"/>
          <w:sz w:val="18"/>
          <w:szCs w:val="18"/>
        </w:rPr>
      </w:pPr>
      <w:r w:rsidRPr="00012B6A">
        <w:rPr>
          <w:rFonts w:ascii="Times New Roman" w:eastAsia="Cambria" w:hAnsi="Times New Roman"/>
          <w:i/>
          <w:color w:val="000000"/>
          <w:sz w:val="18"/>
          <w:szCs w:val="18"/>
        </w:rPr>
        <w:t>(Strateški dokumenti institucije i Srednjoročni plan rada)</w:t>
      </w:r>
    </w:p>
    <w:p w14:paraId="4B0BBAC1" w14:textId="07A7DED2" w:rsidR="00F53AB2" w:rsidRDefault="00F53AB2" w:rsidP="00F53AB2">
      <w:pPr>
        <w:spacing w:line="276" w:lineRule="auto"/>
        <w:jc w:val="both"/>
      </w:pPr>
      <w:r w:rsidRPr="00741D33">
        <w:rPr>
          <w:rFonts w:eastAsia="Cambria"/>
        </w:rPr>
        <w:t>Politike</w:t>
      </w:r>
      <w:r w:rsidRPr="00741D33">
        <w:rPr>
          <w:rFonts w:eastAsia="Cambria"/>
          <w:color w:val="000000"/>
        </w:rPr>
        <w:t xml:space="preserve">, strategije, akcione planove čija je svrha ostvarivanje određenih, jasno definisanih, dugoročnih ciljeva kojima organ uprave ispunjava svoje nadležnosti, odnosno funkcije u skladu sa opredjeljenjima i ciljevima Vijeća ministara BiH </w:t>
      </w:r>
      <w:r>
        <w:rPr>
          <w:rFonts w:eastAsia="Cambria"/>
          <w:color w:val="000000"/>
        </w:rPr>
        <w:t xml:space="preserve">objavljuje većina institucija koje su učestvovale u ovom istraživanju. </w:t>
      </w:r>
      <w:r w:rsidRPr="00741D33">
        <w:t>Srednjoročni plan rada objavil</w:t>
      </w:r>
      <w:r>
        <w:t xml:space="preserve">o je 57 institucija, odnosni 87,69 posto institucija. </w:t>
      </w:r>
    </w:p>
    <w:p w14:paraId="1C086B70" w14:textId="77777777" w:rsidR="00F53AB2" w:rsidRPr="0088171D" w:rsidRDefault="00F53AB2" w:rsidP="00F53AB2">
      <w:pPr>
        <w:rPr>
          <w:iCs/>
          <w:sz w:val="18"/>
          <w:szCs w:val="18"/>
        </w:rPr>
      </w:pPr>
    </w:p>
    <w:p w14:paraId="0A0E5BB1" w14:textId="77777777" w:rsidR="00F53AB2" w:rsidRDefault="00F53AB2" w:rsidP="00F53AB2">
      <w:pPr>
        <w:pStyle w:val="ListParagraph"/>
        <w:tabs>
          <w:tab w:val="left" w:pos="3751"/>
        </w:tabs>
        <w:ind w:left="0"/>
        <w:jc w:val="both"/>
        <w:rPr>
          <w:rFonts w:ascii="Times New Roman" w:hAnsi="Times New Roman"/>
          <w:sz w:val="24"/>
          <w:szCs w:val="24"/>
          <w:u w:val="single"/>
        </w:rPr>
      </w:pPr>
    </w:p>
    <w:p w14:paraId="63E04B06" w14:textId="77777777" w:rsidR="00F53AB2" w:rsidRDefault="00F53AB2" w:rsidP="00F53AB2">
      <w:pPr>
        <w:pStyle w:val="ListParagraph"/>
        <w:tabs>
          <w:tab w:val="left" w:pos="3751"/>
        </w:tabs>
        <w:ind w:left="0"/>
        <w:jc w:val="both"/>
        <w:rPr>
          <w:rFonts w:ascii="Times New Roman" w:hAnsi="Times New Roman"/>
          <w:sz w:val="24"/>
          <w:szCs w:val="24"/>
          <w:u w:val="single"/>
        </w:rPr>
      </w:pPr>
    </w:p>
    <w:p w14:paraId="52F10762" w14:textId="47484645" w:rsidR="00F53AB2" w:rsidRPr="002263D5" w:rsidRDefault="00F53AB2" w:rsidP="002263D5">
      <w:pPr>
        <w:pStyle w:val="ListParagraph"/>
        <w:tabs>
          <w:tab w:val="left" w:pos="3751"/>
        </w:tabs>
        <w:ind w:left="0"/>
        <w:jc w:val="both"/>
        <w:rPr>
          <w:rFonts w:ascii="Times New Roman" w:hAnsi="Times New Roman"/>
          <w:sz w:val="24"/>
          <w:szCs w:val="24"/>
          <w:u w:val="single"/>
        </w:rPr>
      </w:pPr>
      <w:r>
        <w:rPr>
          <w:rFonts w:ascii="Times New Roman" w:hAnsi="Times New Roman"/>
          <w:b/>
          <w:noProof/>
          <w:sz w:val="24"/>
          <w:szCs w:val="24"/>
          <w:lang w:eastAsia="bs-Latn-BA"/>
        </w:rPr>
        <w:drawing>
          <wp:inline distT="0" distB="0" distL="0" distR="0" wp14:anchorId="7D8814C5" wp14:editId="6891B41D">
            <wp:extent cx="6153150" cy="16249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trazivanje2023_5.png"/>
                    <pic:cNvPicPr/>
                  </pic:nvPicPr>
                  <pic:blipFill>
                    <a:blip r:embed="rId12">
                      <a:extLst>
                        <a:ext uri="{28A0092B-C50C-407E-A947-70E740481C1C}">
                          <a14:useLocalDpi xmlns:a14="http://schemas.microsoft.com/office/drawing/2010/main" val="0"/>
                        </a:ext>
                      </a:extLst>
                    </a:blip>
                    <a:stretch>
                      <a:fillRect/>
                    </a:stretch>
                  </pic:blipFill>
                  <pic:spPr>
                    <a:xfrm>
                      <a:off x="0" y="0"/>
                      <a:ext cx="6153150" cy="1624965"/>
                    </a:xfrm>
                    <a:prstGeom prst="rect">
                      <a:avLst/>
                    </a:prstGeom>
                  </pic:spPr>
                </pic:pic>
              </a:graphicData>
            </a:graphic>
          </wp:inline>
        </w:drawing>
      </w:r>
    </w:p>
    <w:p w14:paraId="03B5102C" w14:textId="77777777" w:rsidR="00F53AB2" w:rsidRDefault="00F53AB2" w:rsidP="00F53AB2">
      <w:pPr>
        <w:jc w:val="center"/>
        <w:rPr>
          <w:i/>
          <w:sz w:val="18"/>
          <w:szCs w:val="18"/>
        </w:rPr>
      </w:pPr>
      <w:r>
        <w:rPr>
          <w:i/>
          <w:sz w:val="18"/>
          <w:szCs w:val="18"/>
        </w:rPr>
        <w:t>Graf</w:t>
      </w:r>
      <w:r w:rsidRPr="002906A5">
        <w:rPr>
          <w:i/>
          <w:sz w:val="18"/>
          <w:szCs w:val="18"/>
        </w:rPr>
        <w:t xml:space="preserve"> </w:t>
      </w:r>
      <w:r>
        <w:rPr>
          <w:i/>
          <w:sz w:val="18"/>
          <w:szCs w:val="18"/>
        </w:rPr>
        <w:t>5</w:t>
      </w:r>
      <w:r w:rsidRPr="002906A5">
        <w:rPr>
          <w:i/>
          <w:sz w:val="18"/>
          <w:szCs w:val="18"/>
        </w:rPr>
        <w:t xml:space="preserve"> - </w:t>
      </w:r>
      <w:r>
        <w:rPr>
          <w:i/>
          <w:sz w:val="18"/>
          <w:szCs w:val="18"/>
        </w:rPr>
        <w:t xml:space="preserve">Procentualni prikaz ispunjenosti standarda iz oblasti: </w:t>
      </w:r>
      <w:r w:rsidRPr="00DA146B">
        <w:rPr>
          <w:i/>
          <w:sz w:val="18"/>
          <w:szCs w:val="18"/>
        </w:rPr>
        <w:t>Strateške informacije</w:t>
      </w:r>
    </w:p>
    <w:p w14:paraId="543A2C18" w14:textId="77777777" w:rsidR="00F53AB2" w:rsidRPr="002263D5" w:rsidRDefault="00F53AB2" w:rsidP="00F53AB2">
      <w:pPr>
        <w:jc w:val="center"/>
        <w:rPr>
          <w:i/>
        </w:rPr>
      </w:pPr>
    </w:p>
    <w:p w14:paraId="56BA72D4" w14:textId="77777777" w:rsidR="00F53AB2" w:rsidRPr="00741D33" w:rsidRDefault="00F53AB2" w:rsidP="00F53AB2">
      <w:pPr>
        <w:pStyle w:val="ListParagraph"/>
        <w:tabs>
          <w:tab w:val="left" w:pos="3751"/>
        </w:tabs>
        <w:ind w:left="0"/>
        <w:jc w:val="both"/>
        <w:rPr>
          <w:rFonts w:ascii="Times New Roman" w:hAnsi="Times New Roman"/>
          <w:sz w:val="24"/>
          <w:szCs w:val="24"/>
          <w:u w:val="single"/>
        </w:rPr>
      </w:pPr>
    </w:p>
    <w:p w14:paraId="49D40E40" w14:textId="77777777" w:rsidR="00F53AB2" w:rsidRPr="00741D33" w:rsidRDefault="00F53AB2" w:rsidP="00F53AB2">
      <w:pPr>
        <w:pStyle w:val="ListParagraph"/>
        <w:tabs>
          <w:tab w:val="left" w:pos="3751"/>
        </w:tabs>
        <w:ind w:left="0"/>
        <w:jc w:val="center"/>
        <w:rPr>
          <w:rFonts w:ascii="Times New Roman" w:hAnsi="Times New Roman"/>
          <w:b/>
          <w:sz w:val="24"/>
          <w:szCs w:val="24"/>
          <w:u w:val="single"/>
        </w:rPr>
      </w:pPr>
      <w:r w:rsidRPr="00741D33">
        <w:rPr>
          <w:rFonts w:ascii="Times New Roman" w:hAnsi="Times New Roman"/>
          <w:b/>
          <w:sz w:val="24"/>
          <w:szCs w:val="24"/>
          <w:u w:val="single"/>
        </w:rPr>
        <w:t>Operativne informacije</w:t>
      </w:r>
    </w:p>
    <w:p w14:paraId="673381EB" w14:textId="77777777" w:rsidR="00F53AB2" w:rsidRPr="00741D33" w:rsidRDefault="00F53AB2" w:rsidP="00F53AB2">
      <w:pPr>
        <w:pStyle w:val="ListParagraph"/>
        <w:tabs>
          <w:tab w:val="left" w:pos="3751"/>
        </w:tabs>
        <w:ind w:left="0"/>
        <w:jc w:val="center"/>
        <w:rPr>
          <w:rFonts w:ascii="Times New Roman" w:hAnsi="Times New Roman"/>
          <w:b/>
          <w:sz w:val="16"/>
          <w:szCs w:val="16"/>
          <w:u w:val="single"/>
        </w:rPr>
      </w:pPr>
    </w:p>
    <w:p w14:paraId="3E0BF7F4" w14:textId="77777777" w:rsidR="00F53AB2" w:rsidRPr="00EF6254" w:rsidRDefault="00F53AB2" w:rsidP="00F53AB2">
      <w:pPr>
        <w:pStyle w:val="ListParagraph"/>
        <w:tabs>
          <w:tab w:val="left" w:pos="3751"/>
        </w:tabs>
        <w:ind w:left="0"/>
        <w:jc w:val="center"/>
        <w:rPr>
          <w:rFonts w:ascii="Times New Roman" w:hAnsi="Times New Roman"/>
          <w:i/>
          <w:sz w:val="18"/>
          <w:szCs w:val="18"/>
          <w:u w:val="single"/>
        </w:rPr>
      </w:pPr>
      <w:r w:rsidRPr="00EF6254">
        <w:rPr>
          <w:rFonts w:ascii="Times New Roman" w:hAnsi="Times New Roman"/>
          <w:i/>
          <w:sz w:val="18"/>
          <w:szCs w:val="18"/>
          <w:u w:val="single"/>
        </w:rPr>
        <w:t>(</w:t>
      </w:r>
      <w:r w:rsidRPr="00EF6254">
        <w:rPr>
          <w:rFonts w:ascii="Times New Roman" w:eastAsia="Cambria" w:hAnsi="Times New Roman"/>
          <w:i/>
          <w:color w:val="000000"/>
          <w:sz w:val="18"/>
          <w:szCs w:val="18"/>
        </w:rPr>
        <w:t>Izvještaj o radu, Godišnji program rada, Konkursi, oglasi i njihova arhiva, Kalendar događaja, Lista aktuelnih i realiziranih projekata tehničke saradnje)</w:t>
      </w:r>
    </w:p>
    <w:p w14:paraId="6C340E79" w14:textId="51933044" w:rsidR="00F53AB2" w:rsidRPr="00FF5880" w:rsidRDefault="00F53AB2" w:rsidP="00F53AB2">
      <w:pPr>
        <w:spacing w:line="276" w:lineRule="auto"/>
        <w:jc w:val="both"/>
      </w:pPr>
      <w:r w:rsidRPr="00FF5880">
        <w:t xml:space="preserve">Godišnji program rada objavilo je 55 institucija, a izvještaj o radu 54 institucije. 18 institucija nema na svojim web stranicama objavljene konkurse i oglase kao ni njihovu arhivu, a što je od ranije obaveza institucija i prema Uputstvu o izradi i održavanju službenih internet stranica institucija BiH </w:t>
      </w:r>
      <w:r w:rsidR="007926C6" w:rsidRPr="00EE2920">
        <w:t xml:space="preserve">iz </w:t>
      </w:r>
      <w:r w:rsidRPr="00EE2920">
        <w:t>2009.</w:t>
      </w:r>
      <w:r w:rsidR="00956743" w:rsidRPr="00EE2920">
        <w:t xml:space="preserve"> godin</w:t>
      </w:r>
      <w:r w:rsidR="007926C6" w:rsidRPr="00EE2920">
        <w:t>e</w:t>
      </w:r>
      <w:r w:rsidRPr="00EE2920">
        <w:t>.</w:t>
      </w:r>
      <w:r w:rsidRPr="00FF5880">
        <w:t xml:space="preserve"> </w:t>
      </w:r>
    </w:p>
    <w:p w14:paraId="6459C09F" w14:textId="218775C4" w:rsidR="00F53AB2" w:rsidRDefault="00F53AB2" w:rsidP="00F53AB2">
      <w:pPr>
        <w:spacing w:line="276" w:lineRule="auto"/>
        <w:jc w:val="both"/>
        <w:rPr>
          <w:rFonts w:eastAsia="Cambria"/>
          <w:color w:val="000000"/>
        </w:rPr>
      </w:pPr>
      <w:r w:rsidRPr="00FF5880">
        <w:rPr>
          <w:rFonts w:eastAsia="Cambria"/>
          <w:color w:val="000000"/>
        </w:rPr>
        <w:t xml:space="preserve">Listu  aktuelnih i realiziranih projekata tehničke saradnje, odnosno popis projekata finansiranih iz fondova Europske unije i drugih međunarodnih ili fondova pojedinačnih </w:t>
      </w:r>
      <w:r w:rsidRPr="00FF5880">
        <w:rPr>
          <w:rFonts w:eastAsia="Cambria"/>
        </w:rPr>
        <w:t>zemalja</w:t>
      </w:r>
      <w:r w:rsidRPr="00FF5880">
        <w:rPr>
          <w:rFonts w:eastAsia="Cambria"/>
          <w:color w:val="000000"/>
        </w:rPr>
        <w:t xml:space="preserve">, kroz koje je pružena podrška razvoju organa uprave, odnosno izvršavanju njegovih funkcija, a koja sadrži naziv projekta, period trajanja, ukupnu vrijednost projekta, finansijera i ciljeve koji trebaju biti (za tekuće projekte) ili koji će biti ostvareni kroz taj projekat, nije objavila 31 institucije. </w:t>
      </w:r>
    </w:p>
    <w:p w14:paraId="64BDA6EF" w14:textId="77777777" w:rsidR="002263D5" w:rsidRDefault="002263D5" w:rsidP="00F53AB2">
      <w:pPr>
        <w:spacing w:line="276" w:lineRule="auto"/>
        <w:jc w:val="both"/>
        <w:rPr>
          <w:rFonts w:eastAsia="Cambria"/>
          <w:color w:val="000000"/>
        </w:rPr>
      </w:pPr>
    </w:p>
    <w:p w14:paraId="06E21903" w14:textId="69BD1795" w:rsidR="00F53AB2" w:rsidRPr="002263D5" w:rsidRDefault="00F53AB2" w:rsidP="002263D5">
      <w:pPr>
        <w:spacing w:line="276" w:lineRule="auto"/>
        <w:jc w:val="both"/>
        <w:rPr>
          <w:rFonts w:eastAsia="Cambria"/>
          <w:color w:val="000000"/>
        </w:rPr>
      </w:pPr>
      <w:r>
        <w:rPr>
          <w:rFonts w:eastAsia="Cambria"/>
          <w:noProof/>
          <w:color w:val="000000"/>
          <w:sz w:val="18"/>
          <w:szCs w:val="18"/>
          <w:lang w:val="bs-Latn-BA" w:eastAsia="bs-Latn-BA"/>
        </w:rPr>
        <w:drawing>
          <wp:inline distT="0" distB="0" distL="0" distR="0" wp14:anchorId="38B7A1C4" wp14:editId="77C59EE3">
            <wp:extent cx="6153150" cy="2407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strazivanje2023_6.png"/>
                    <pic:cNvPicPr/>
                  </pic:nvPicPr>
                  <pic:blipFill>
                    <a:blip r:embed="rId13">
                      <a:extLst>
                        <a:ext uri="{28A0092B-C50C-407E-A947-70E740481C1C}">
                          <a14:useLocalDpi xmlns:a14="http://schemas.microsoft.com/office/drawing/2010/main" val="0"/>
                        </a:ext>
                      </a:extLst>
                    </a:blip>
                    <a:stretch>
                      <a:fillRect/>
                    </a:stretch>
                  </pic:blipFill>
                  <pic:spPr>
                    <a:xfrm>
                      <a:off x="0" y="0"/>
                      <a:ext cx="6153150" cy="2407285"/>
                    </a:xfrm>
                    <a:prstGeom prst="rect">
                      <a:avLst/>
                    </a:prstGeom>
                  </pic:spPr>
                </pic:pic>
              </a:graphicData>
            </a:graphic>
          </wp:inline>
        </w:drawing>
      </w:r>
    </w:p>
    <w:p w14:paraId="2AE64B01" w14:textId="163EA00C" w:rsidR="00F53AB2" w:rsidRDefault="00F53AB2" w:rsidP="00F53AB2">
      <w:pPr>
        <w:jc w:val="center"/>
        <w:rPr>
          <w:i/>
          <w:sz w:val="18"/>
          <w:szCs w:val="18"/>
        </w:rPr>
      </w:pPr>
      <w:r w:rsidRPr="00FF5880">
        <w:rPr>
          <w:rFonts w:eastAsia="Cambria"/>
          <w:color w:val="000000"/>
          <w:sz w:val="18"/>
          <w:szCs w:val="18"/>
        </w:rPr>
        <w:t xml:space="preserve"> </w:t>
      </w:r>
      <w:r w:rsidRPr="00FF5880">
        <w:t xml:space="preserve">  </w:t>
      </w:r>
      <w:r w:rsidRPr="00FF5880">
        <w:rPr>
          <w:i/>
          <w:sz w:val="18"/>
          <w:szCs w:val="18"/>
        </w:rPr>
        <w:t>Graf 6 - Procentualni prikaz ispunjenosti standarda iz oblasti: Operativne informacije</w:t>
      </w:r>
    </w:p>
    <w:p w14:paraId="7B8EBBEE" w14:textId="2DCC95EB" w:rsidR="002263D5" w:rsidRPr="002263D5" w:rsidRDefault="002263D5" w:rsidP="00F53AB2">
      <w:pPr>
        <w:jc w:val="center"/>
        <w:rPr>
          <w:i/>
        </w:rPr>
      </w:pPr>
    </w:p>
    <w:p w14:paraId="1CA026F9" w14:textId="77777777" w:rsidR="002263D5" w:rsidRPr="002263D5" w:rsidRDefault="002263D5" w:rsidP="00F53AB2">
      <w:pPr>
        <w:jc w:val="center"/>
        <w:rPr>
          <w:i/>
        </w:rPr>
      </w:pPr>
    </w:p>
    <w:p w14:paraId="5FD820B4" w14:textId="77777777" w:rsidR="00F53AB2" w:rsidRPr="00FF5880" w:rsidRDefault="00F53AB2" w:rsidP="00F53AB2">
      <w:pPr>
        <w:pStyle w:val="ListParagraph"/>
        <w:tabs>
          <w:tab w:val="left" w:pos="3751"/>
        </w:tabs>
        <w:ind w:left="0"/>
        <w:jc w:val="center"/>
        <w:rPr>
          <w:rFonts w:ascii="Times New Roman" w:hAnsi="Times New Roman"/>
          <w:b/>
          <w:sz w:val="24"/>
          <w:szCs w:val="24"/>
          <w:u w:val="single"/>
        </w:rPr>
      </w:pPr>
      <w:r w:rsidRPr="00FF5880">
        <w:rPr>
          <w:rFonts w:ascii="Times New Roman" w:hAnsi="Times New Roman"/>
          <w:b/>
          <w:sz w:val="24"/>
          <w:szCs w:val="24"/>
          <w:u w:val="single"/>
        </w:rPr>
        <w:t>Organizacijske informacije</w:t>
      </w:r>
    </w:p>
    <w:p w14:paraId="016B9434" w14:textId="77777777" w:rsidR="00F53AB2" w:rsidRPr="00FF5880" w:rsidRDefault="00F53AB2" w:rsidP="00F53AB2">
      <w:pPr>
        <w:pStyle w:val="ListParagraph"/>
        <w:tabs>
          <w:tab w:val="left" w:pos="3751"/>
        </w:tabs>
        <w:ind w:left="0"/>
        <w:jc w:val="center"/>
        <w:rPr>
          <w:rFonts w:ascii="Times New Roman" w:hAnsi="Times New Roman"/>
          <w:b/>
          <w:sz w:val="16"/>
          <w:szCs w:val="16"/>
          <w:u w:val="single"/>
        </w:rPr>
      </w:pPr>
    </w:p>
    <w:p w14:paraId="17213734" w14:textId="77777777" w:rsidR="00F53AB2" w:rsidRPr="00FF5880" w:rsidRDefault="00F53AB2" w:rsidP="00F53AB2">
      <w:pPr>
        <w:pStyle w:val="ListParagraph"/>
        <w:tabs>
          <w:tab w:val="left" w:pos="3751"/>
        </w:tabs>
        <w:ind w:left="0"/>
        <w:jc w:val="center"/>
        <w:rPr>
          <w:rFonts w:ascii="Times New Roman" w:hAnsi="Times New Roman"/>
          <w:i/>
          <w:sz w:val="18"/>
          <w:szCs w:val="18"/>
          <w:u w:val="single"/>
        </w:rPr>
      </w:pPr>
      <w:r w:rsidRPr="00FF5880">
        <w:rPr>
          <w:rFonts w:ascii="Times New Roman" w:hAnsi="Times New Roman"/>
          <w:i/>
          <w:sz w:val="18"/>
          <w:szCs w:val="18"/>
          <w:u w:val="single"/>
        </w:rPr>
        <w:t>(</w:t>
      </w:r>
      <w:r w:rsidRPr="00FF5880">
        <w:rPr>
          <w:rFonts w:ascii="Times New Roman" w:eastAsia="Cambria" w:hAnsi="Times New Roman"/>
          <w:i/>
          <w:color w:val="000000"/>
          <w:sz w:val="18"/>
          <w:szCs w:val="18"/>
        </w:rPr>
        <w:t>Pitanja i odgovori na učestale upite, Pravilnik o unutrašnjoj organizaciji i sistematizaciji radnih mjesta - sa izmjenama, Zakoni i odluke o osnivanju, Lista nadležnosti institucije, Organigram, Kontakti zaposlenih, Biografije rukovodstva, Akcijski plan za borbu protiv korupcije, Plan integriteta i Etički kodeks)</w:t>
      </w:r>
    </w:p>
    <w:p w14:paraId="704F9517" w14:textId="77777777" w:rsidR="00F53AB2" w:rsidRPr="00FF5880" w:rsidRDefault="00F53AB2" w:rsidP="00F53AB2">
      <w:pPr>
        <w:spacing w:line="276" w:lineRule="auto"/>
        <w:jc w:val="both"/>
      </w:pPr>
      <w:r w:rsidRPr="00FF5880">
        <w:t xml:space="preserve">Uvidom u analizu odgovora vidljivo je da pojedine institucije uprave nemaju ni osnovne podatke koji predstavljaju njihovu ličnu kartu poput biografija rukovodilaca ili kontakata zaposlenih.  Biografije rukovodilaca institucija objavilo je 48 institucija (69,35%), dok 17 institucija nema objavljene biografije rukovodilaca. Od 65 institucija čiji su službenici popunjavali upitnik , 8 institucija još nema javnosti dostupne kontakte zaposlenih. Mali broj institucija (njih 4) nemaju objavljene zakone i/li odluke o osnivanju te ostale relevantne propise iz njihove nadležnosti.  </w:t>
      </w:r>
    </w:p>
    <w:p w14:paraId="38177879" w14:textId="77777777" w:rsidR="00F53AB2" w:rsidRPr="00FF5880" w:rsidRDefault="00F53AB2" w:rsidP="00F53AB2">
      <w:pPr>
        <w:spacing w:line="276" w:lineRule="auto"/>
        <w:jc w:val="both"/>
      </w:pPr>
    </w:p>
    <w:p w14:paraId="77758568" w14:textId="77777777" w:rsidR="00F53AB2" w:rsidRDefault="00F53AB2" w:rsidP="00F53AB2">
      <w:pPr>
        <w:spacing w:line="276" w:lineRule="auto"/>
        <w:jc w:val="both"/>
      </w:pPr>
      <w:r w:rsidRPr="007926C6">
        <w:t>Etički kodeks državnih službenika nije objavilo 16 institucija</w:t>
      </w:r>
      <w:r w:rsidRPr="00FF5880">
        <w:t>, a 8 institucija nema na svojoj web stranici objavljen ni organigram. Također, 27 institucija koje su dale odgovor nemaju objavljene pravilnike o unutrašnjoj organizaciji i sistematizaciji radnih mjesta.</w:t>
      </w:r>
      <w:r w:rsidRPr="00FF5880">
        <w:rPr>
          <w:b/>
        </w:rPr>
        <w:t xml:space="preserve"> 50 </w:t>
      </w:r>
      <w:r w:rsidRPr="00FF5880">
        <w:t>institucija je objavilo Plan integriteta, a 14 institucija nije objavilo Akcioni plan za borbu protiv korupcije.</w:t>
      </w:r>
      <w:r>
        <w:t xml:space="preserve"> </w:t>
      </w:r>
      <w:r w:rsidRPr="00741D33">
        <w:t xml:space="preserve"> </w:t>
      </w:r>
    </w:p>
    <w:p w14:paraId="728BE39C" w14:textId="77777777" w:rsidR="00F53AB2" w:rsidRDefault="00F53AB2" w:rsidP="00F53AB2">
      <w:pPr>
        <w:spacing w:line="276" w:lineRule="auto"/>
        <w:jc w:val="both"/>
      </w:pPr>
    </w:p>
    <w:p w14:paraId="66A76236" w14:textId="6D58A4C5" w:rsidR="00F53AB2" w:rsidRPr="002263D5" w:rsidRDefault="00F53AB2" w:rsidP="002263D5">
      <w:pPr>
        <w:spacing w:line="276" w:lineRule="auto"/>
        <w:jc w:val="both"/>
      </w:pPr>
      <w:r>
        <w:rPr>
          <w:b/>
          <w:noProof/>
          <w:lang w:val="bs-Latn-BA" w:eastAsia="bs-Latn-BA"/>
        </w:rPr>
        <w:drawing>
          <wp:inline distT="0" distB="0" distL="0" distR="0" wp14:anchorId="736D5DA0" wp14:editId="45ADCA5F">
            <wp:extent cx="6153150" cy="37058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strazivanje2023_7.png"/>
                    <pic:cNvPicPr/>
                  </pic:nvPicPr>
                  <pic:blipFill>
                    <a:blip r:embed="rId14">
                      <a:extLst>
                        <a:ext uri="{28A0092B-C50C-407E-A947-70E740481C1C}">
                          <a14:useLocalDpi xmlns:a14="http://schemas.microsoft.com/office/drawing/2010/main" val="0"/>
                        </a:ext>
                      </a:extLst>
                    </a:blip>
                    <a:stretch>
                      <a:fillRect/>
                    </a:stretch>
                  </pic:blipFill>
                  <pic:spPr>
                    <a:xfrm>
                      <a:off x="0" y="0"/>
                      <a:ext cx="6153150" cy="3705860"/>
                    </a:xfrm>
                    <a:prstGeom prst="rect">
                      <a:avLst/>
                    </a:prstGeom>
                  </pic:spPr>
                </pic:pic>
              </a:graphicData>
            </a:graphic>
          </wp:inline>
        </w:drawing>
      </w:r>
    </w:p>
    <w:p w14:paraId="3E6FA72E" w14:textId="77777777" w:rsidR="00F53AB2" w:rsidRDefault="00F53AB2" w:rsidP="00F53AB2">
      <w:pPr>
        <w:jc w:val="center"/>
        <w:rPr>
          <w:b/>
        </w:rPr>
      </w:pPr>
      <w:r>
        <w:rPr>
          <w:i/>
          <w:sz w:val="18"/>
          <w:szCs w:val="18"/>
        </w:rPr>
        <w:t>Graf</w:t>
      </w:r>
      <w:r w:rsidRPr="002906A5">
        <w:rPr>
          <w:i/>
          <w:sz w:val="18"/>
          <w:szCs w:val="18"/>
        </w:rPr>
        <w:t xml:space="preserve"> </w:t>
      </w:r>
      <w:r>
        <w:rPr>
          <w:i/>
          <w:sz w:val="18"/>
          <w:szCs w:val="18"/>
        </w:rPr>
        <w:t>7</w:t>
      </w:r>
      <w:r w:rsidRPr="002906A5">
        <w:rPr>
          <w:i/>
          <w:sz w:val="18"/>
          <w:szCs w:val="18"/>
        </w:rPr>
        <w:t xml:space="preserve"> - </w:t>
      </w:r>
      <w:r>
        <w:rPr>
          <w:i/>
          <w:sz w:val="18"/>
          <w:szCs w:val="18"/>
        </w:rPr>
        <w:t>Procentualni prikaz ispunjenosti standarda iz oblasti: Organizacijske</w:t>
      </w:r>
      <w:r w:rsidRPr="00FE46A4">
        <w:rPr>
          <w:i/>
          <w:sz w:val="18"/>
          <w:szCs w:val="18"/>
        </w:rPr>
        <w:t xml:space="preserve"> informacije</w:t>
      </w:r>
    </w:p>
    <w:p w14:paraId="5C6D6953" w14:textId="77777777" w:rsidR="00F53AB2" w:rsidRDefault="00F53AB2" w:rsidP="00F53AB2">
      <w:pPr>
        <w:jc w:val="center"/>
        <w:rPr>
          <w:b/>
        </w:rPr>
      </w:pPr>
    </w:p>
    <w:p w14:paraId="6C6E7848" w14:textId="77777777" w:rsidR="00F53AB2" w:rsidRDefault="00F53AB2" w:rsidP="00F53AB2">
      <w:pPr>
        <w:jc w:val="both"/>
        <w:rPr>
          <w:b/>
          <w:i/>
          <w:sz w:val="22"/>
          <w:szCs w:val="22"/>
          <w:u w:val="single"/>
        </w:rPr>
      </w:pPr>
    </w:p>
    <w:p w14:paraId="650947E8" w14:textId="77777777" w:rsidR="00F53AB2" w:rsidRDefault="00F53AB2" w:rsidP="00F53AB2">
      <w:pPr>
        <w:jc w:val="both"/>
        <w:rPr>
          <w:b/>
          <w:i/>
          <w:sz w:val="22"/>
          <w:szCs w:val="22"/>
          <w:u w:val="single"/>
        </w:rPr>
      </w:pPr>
    </w:p>
    <w:p w14:paraId="301882E6" w14:textId="77777777" w:rsidR="00F53AB2" w:rsidRDefault="00F53AB2" w:rsidP="00F53AB2">
      <w:pPr>
        <w:jc w:val="both"/>
        <w:rPr>
          <w:b/>
          <w:i/>
          <w:sz w:val="22"/>
          <w:szCs w:val="22"/>
          <w:u w:val="single"/>
        </w:rPr>
      </w:pPr>
    </w:p>
    <w:p w14:paraId="7EA16E26" w14:textId="77777777" w:rsidR="002263D5" w:rsidRDefault="002263D5" w:rsidP="00F53AB2">
      <w:pPr>
        <w:jc w:val="both"/>
        <w:rPr>
          <w:b/>
          <w:i/>
          <w:sz w:val="22"/>
          <w:szCs w:val="22"/>
          <w:u w:val="single"/>
        </w:rPr>
        <w:sectPr w:rsidR="002263D5" w:rsidSect="002263D5">
          <w:headerReference w:type="first" r:id="rId15"/>
          <w:footerReference w:type="first" r:id="rId16"/>
          <w:pgSz w:w="11906" w:h="16838" w:code="9"/>
          <w:pgMar w:top="1134" w:right="905" w:bottom="1134" w:left="1311" w:header="567" w:footer="567" w:gutter="0"/>
          <w:cols w:space="720"/>
          <w:titlePg/>
          <w:docGrid w:linePitch="326"/>
        </w:sectPr>
      </w:pPr>
    </w:p>
    <w:p w14:paraId="37626F72" w14:textId="3182B689" w:rsidR="00F53AB2" w:rsidRDefault="00F53AB2" w:rsidP="00F53AB2">
      <w:pPr>
        <w:jc w:val="both"/>
        <w:rPr>
          <w:b/>
          <w:i/>
          <w:sz w:val="22"/>
          <w:szCs w:val="22"/>
          <w:u w:val="single"/>
        </w:rPr>
      </w:pPr>
    </w:p>
    <w:p w14:paraId="565A439A" w14:textId="77777777" w:rsidR="00F53AB2" w:rsidRDefault="00F53AB2" w:rsidP="00F53AB2">
      <w:pPr>
        <w:jc w:val="center"/>
        <w:rPr>
          <w:b/>
        </w:rPr>
      </w:pPr>
      <w:r>
        <w:rPr>
          <w:b/>
        </w:rPr>
        <w:t xml:space="preserve">Uporedni podaci za svih pet istraživanja </w:t>
      </w:r>
    </w:p>
    <w:p w14:paraId="5FE046F5" w14:textId="77777777" w:rsidR="00F53AB2" w:rsidRPr="00E51207" w:rsidRDefault="00F53AB2" w:rsidP="00F53AB2">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999"/>
        <w:gridCol w:w="799"/>
        <w:gridCol w:w="799"/>
        <w:gridCol w:w="798"/>
        <w:gridCol w:w="798"/>
        <w:gridCol w:w="798"/>
        <w:gridCol w:w="798"/>
        <w:gridCol w:w="798"/>
        <w:gridCol w:w="798"/>
        <w:gridCol w:w="798"/>
        <w:gridCol w:w="798"/>
      </w:tblGrid>
      <w:tr w:rsidR="00F53AB2" w:rsidRPr="007B3AE5" w14:paraId="7E277E56" w14:textId="77777777" w:rsidTr="002263D5">
        <w:trPr>
          <w:trHeight w:val="580"/>
        </w:trPr>
        <w:tc>
          <w:tcPr>
            <w:tcW w:w="199" w:type="pct"/>
            <w:vMerge w:val="restart"/>
            <w:shd w:val="clear" w:color="auto" w:fill="auto"/>
            <w:vAlign w:val="center"/>
            <w:hideMark/>
          </w:tcPr>
          <w:p w14:paraId="3A0F00F1" w14:textId="77777777" w:rsidR="00F53AB2" w:rsidRPr="007B3AE5" w:rsidRDefault="00F53AB2" w:rsidP="003C3DAA">
            <w:pPr>
              <w:jc w:val="center"/>
              <w:rPr>
                <w:b/>
                <w:bCs/>
                <w:color w:val="000000"/>
                <w:sz w:val="16"/>
                <w:szCs w:val="16"/>
              </w:rPr>
            </w:pPr>
            <w:r w:rsidRPr="007B3AE5">
              <w:rPr>
                <w:b/>
                <w:bCs/>
                <w:color w:val="000000"/>
                <w:sz w:val="16"/>
                <w:szCs w:val="16"/>
              </w:rPr>
              <w:t xml:space="preserve">Redni </w:t>
            </w:r>
            <w:r w:rsidRPr="007B3AE5">
              <w:rPr>
                <w:b/>
                <w:bCs/>
                <w:color w:val="000000"/>
                <w:sz w:val="16"/>
                <w:szCs w:val="16"/>
              </w:rPr>
              <w:br/>
              <w:t>broj</w:t>
            </w:r>
          </w:p>
        </w:tc>
        <w:tc>
          <w:tcPr>
            <w:tcW w:w="2060" w:type="pct"/>
            <w:vMerge w:val="restart"/>
            <w:shd w:val="clear" w:color="auto" w:fill="auto"/>
            <w:noWrap/>
            <w:vAlign w:val="center"/>
            <w:hideMark/>
          </w:tcPr>
          <w:p w14:paraId="6CA3F284" w14:textId="77777777" w:rsidR="00F53AB2" w:rsidRPr="007B3AE5" w:rsidRDefault="00F53AB2" w:rsidP="003C3DAA">
            <w:pPr>
              <w:jc w:val="center"/>
              <w:rPr>
                <w:b/>
                <w:bCs/>
                <w:color w:val="000000"/>
                <w:sz w:val="16"/>
                <w:szCs w:val="16"/>
              </w:rPr>
            </w:pPr>
            <w:r w:rsidRPr="007B3AE5">
              <w:rPr>
                <w:b/>
                <w:bCs/>
                <w:color w:val="000000"/>
                <w:sz w:val="16"/>
                <w:szCs w:val="16"/>
              </w:rPr>
              <w:t>Naziv institucije</w:t>
            </w:r>
          </w:p>
        </w:tc>
        <w:tc>
          <w:tcPr>
            <w:tcW w:w="549" w:type="pct"/>
            <w:gridSpan w:val="2"/>
            <w:shd w:val="clear" w:color="auto" w:fill="F2F2F2" w:themeFill="background1" w:themeFillShade="F2"/>
            <w:noWrap/>
            <w:vAlign w:val="center"/>
            <w:hideMark/>
          </w:tcPr>
          <w:p w14:paraId="689BB167" w14:textId="77777777" w:rsidR="00F53AB2" w:rsidRPr="007B3AE5" w:rsidRDefault="00F53AB2" w:rsidP="003C3DAA">
            <w:pPr>
              <w:jc w:val="center"/>
              <w:rPr>
                <w:b/>
                <w:bCs/>
                <w:color w:val="000000"/>
                <w:sz w:val="16"/>
                <w:szCs w:val="16"/>
              </w:rPr>
            </w:pPr>
            <w:r w:rsidRPr="007B3AE5">
              <w:rPr>
                <w:b/>
                <w:bCs/>
                <w:color w:val="000000"/>
                <w:sz w:val="16"/>
                <w:szCs w:val="16"/>
              </w:rPr>
              <w:t>Istraživanje I (2019)</w:t>
            </w:r>
          </w:p>
        </w:tc>
        <w:tc>
          <w:tcPr>
            <w:tcW w:w="548" w:type="pct"/>
            <w:gridSpan w:val="2"/>
            <w:shd w:val="clear" w:color="auto" w:fill="auto"/>
            <w:noWrap/>
            <w:vAlign w:val="center"/>
            <w:hideMark/>
          </w:tcPr>
          <w:p w14:paraId="37F1BB92" w14:textId="77777777" w:rsidR="00F53AB2" w:rsidRPr="007B3AE5" w:rsidRDefault="00F53AB2" w:rsidP="003C3DAA">
            <w:pPr>
              <w:jc w:val="center"/>
              <w:rPr>
                <w:b/>
                <w:bCs/>
                <w:color w:val="000000"/>
                <w:sz w:val="16"/>
                <w:szCs w:val="16"/>
              </w:rPr>
            </w:pPr>
            <w:r w:rsidRPr="007B3AE5">
              <w:rPr>
                <w:b/>
                <w:bCs/>
                <w:color w:val="000000"/>
                <w:sz w:val="16"/>
                <w:szCs w:val="16"/>
              </w:rPr>
              <w:t>Istraživanje II (2020)</w:t>
            </w:r>
          </w:p>
        </w:tc>
        <w:tc>
          <w:tcPr>
            <w:tcW w:w="548" w:type="pct"/>
            <w:gridSpan w:val="2"/>
            <w:shd w:val="clear" w:color="auto" w:fill="F2F2F2" w:themeFill="background1" w:themeFillShade="F2"/>
            <w:noWrap/>
            <w:vAlign w:val="center"/>
            <w:hideMark/>
          </w:tcPr>
          <w:p w14:paraId="4FB5B33E" w14:textId="77777777" w:rsidR="00F53AB2" w:rsidRPr="007B3AE5" w:rsidRDefault="00F53AB2" w:rsidP="003C3DAA">
            <w:pPr>
              <w:jc w:val="center"/>
              <w:rPr>
                <w:b/>
                <w:bCs/>
                <w:color w:val="000000"/>
                <w:sz w:val="16"/>
                <w:szCs w:val="16"/>
              </w:rPr>
            </w:pPr>
            <w:r w:rsidRPr="007B3AE5">
              <w:rPr>
                <w:b/>
                <w:bCs/>
                <w:color w:val="000000"/>
                <w:sz w:val="16"/>
                <w:szCs w:val="16"/>
              </w:rPr>
              <w:t>Istraživanje III (2021)</w:t>
            </w:r>
          </w:p>
        </w:tc>
        <w:tc>
          <w:tcPr>
            <w:tcW w:w="548" w:type="pct"/>
            <w:gridSpan w:val="2"/>
            <w:shd w:val="clear" w:color="auto" w:fill="auto"/>
            <w:noWrap/>
            <w:vAlign w:val="center"/>
            <w:hideMark/>
          </w:tcPr>
          <w:p w14:paraId="08AA3E40" w14:textId="77777777" w:rsidR="00F53AB2" w:rsidRPr="007B3AE5" w:rsidRDefault="00F53AB2" w:rsidP="003C3DAA">
            <w:pPr>
              <w:jc w:val="center"/>
              <w:rPr>
                <w:b/>
                <w:bCs/>
                <w:color w:val="000000"/>
                <w:sz w:val="16"/>
                <w:szCs w:val="16"/>
              </w:rPr>
            </w:pPr>
            <w:r w:rsidRPr="007B3AE5">
              <w:rPr>
                <w:b/>
                <w:bCs/>
                <w:color w:val="000000"/>
                <w:sz w:val="16"/>
                <w:szCs w:val="16"/>
              </w:rPr>
              <w:t>Istraživanje IV (2022)</w:t>
            </w:r>
          </w:p>
        </w:tc>
        <w:tc>
          <w:tcPr>
            <w:tcW w:w="548" w:type="pct"/>
            <w:gridSpan w:val="2"/>
            <w:shd w:val="clear" w:color="auto" w:fill="F2F2F2" w:themeFill="background1" w:themeFillShade="F2"/>
            <w:noWrap/>
            <w:vAlign w:val="center"/>
            <w:hideMark/>
          </w:tcPr>
          <w:p w14:paraId="0622BFDF" w14:textId="77777777" w:rsidR="00F53AB2" w:rsidRPr="007B3AE5" w:rsidRDefault="00F53AB2" w:rsidP="003C3DAA">
            <w:pPr>
              <w:jc w:val="center"/>
              <w:rPr>
                <w:b/>
                <w:bCs/>
                <w:color w:val="000000"/>
                <w:sz w:val="16"/>
                <w:szCs w:val="16"/>
              </w:rPr>
            </w:pPr>
            <w:r w:rsidRPr="007B3AE5">
              <w:rPr>
                <w:b/>
                <w:bCs/>
                <w:color w:val="000000"/>
                <w:sz w:val="16"/>
                <w:szCs w:val="16"/>
              </w:rPr>
              <w:t>Istraživanje V (2023)</w:t>
            </w:r>
          </w:p>
        </w:tc>
      </w:tr>
      <w:tr w:rsidR="00F53AB2" w:rsidRPr="007B3AE5" w14:paraId="5DE51867" w14:textId="77777777" w:rsidTr="002263D5">
        <w:trPr>
          <w:trHeight w:val="870"/>
        </w:trPr>
        <w:tc>
          <w:tcPr>
            <w:tcW w:w="199" w:type="pct"/>
            <w:vMerge/>
            <w:vAlign w:val="center"/>
            <w:hideMark/>
          </w:tcPr>
          <w:p w14:paraId="4C26AF83" w14:textId="77777777" w:rsidR="00F53AB2" w:rsidRPr="007B3AE5" w:rsidRDefault="00F53AB2" w:rsidP="003C3DAA">
            <w:pPr>
              <w:jc w:val="center"/>
              <w:rPr>
                <w:b/>
                <w:bCs/>
                <w:color w:val="000000"/>
                <w:sz w:val="16"/>
                <w:szCs w:val="16"/>
              </w:rPr>
            </w:pPr>
          </w:p>
        </w:tc>
        <w:tc>
          <w:tcPr>
            <w:tcW w:w="2060" w:type="pct"/>
            <w:vMerge/>
            <w:vAlign w:val="center"/>
            <w:hideMark/>
          </w:tcPr>
          <w:p w14:paraId="0328219D" w14:textId="77777777" w:rsidR="00F53AB2" w:rsidRPr="007B3AE5" w:rsidRDefault="00F53AB2" w:rsidP="003C3DAA">
            <w:pPr>
              <w:jc w:val="center"/>
              <w:rPr>
                <w:b/>
                <w:bCs/>
                <w:color w:val="000000"/>
                <w:sz w:val="16"/>
                <w:szCs w:val="16"/>
              </w:rPr>
            </w:pPr>
          </w:p>
        </w:tc>
        <w:tc>
          <w:tcPr>
            <w:tcW w:w="274" w:type="pct"/>
            <w:shd w:val="clear" w:color="auto" w:fill="F2F2F2" w:themeFill="background1" w:themeFillShade="F2"/>
            <w:vAlign w:val="center"/>
            <w:hideMark/>
          </w:tcPr>
          <w:p w14:paraId="359E4287" w14:textId="77777777" w:rsidR="00F53AB2" w:rsidRPr="007B3AE5" w:rsidRDefault="00F53AB2" w:rsidP="003C3DAA">
            <w:pPr>
              <w:jc w:val="center"/>
              <w:rPr>
                <w:b/>
                <w:bCs/>
                <w:color w:val="000000"/>
                <w:sz w:val="16"/>
                <w:szCs w:val="16"/>
              </w:rPr>
            </w:pPr>
            <w:r w:rsidRPr="007B3AE5">
              <w:rPr>
                <w:b/>
                <w:bCs/>
                <w:color w:val="000000"/>
                <w:sz w:val="16"/>
                <w:szCs w:val="16"/>
              </w:rPr>
              <w:t>Ispunjeni</w:t>
            </w:r>
            <w:r w:rsidRPr="007B3AE5">
              <w:rPr>
                <w:b/>
                <w:bCs/>
                <w:color w:val="000000"/>
                <w:sz w:val="16"/>
                <w:szCs w:val="16"/>
              </w:rPr>
              <w:br/>
              <w:t>standardi</w:t>
            </w:r>
          </w:p>
        </w:tc>
        <w:tc>
          <w:tcPr>
            <w:tcW w:w="274" w:type="pct"/>
            <w:shd w:val="clear" w:color="auto" w:fill="F2F2F2" w:themeFill="background1" w:themeFillShade="F2"/>
            <w:vAlign w:val="center"/>
            <w:hideMark/>
          </w:tcPr>
          <w:p w14:paraId="136AFB42" w14:textId="77777777" w:rsidR="00F53AB2" w:rsidRPr="007B3AE5" w:rsidRDefault="00F53AB2" w:rsidP="003C3DAA">
            <w:pPr>
              <w:jc w:val="center"/>
              <w:rPr>
                <w:b/>
                <w:bCs/>
                <w:color w:val="000000"/>
                <w:sz w:val="16"/>
                <w:szCs w:val="16"/>
              </w:rPr>
            </w:pPr>
            <w:r w:rsidRPr="007B3AE5">
              <w:rPr>
                <w:b/>
                <w:bCs/>
                <w:color w:val="000000"/>
                <w:sz w:val="16"/>
                <w:szCs w:val="16"/>
              </w:rPr>
              <w:t>Ispunjeni</w:t>
            </w:r>
            <w:r w:rsidRPr="007B3AE5">
              <w:rPr>
                <w:b/>
                <w:bCs/>
                <w:color w:val="000000"/>
                <w:sz w:val="16"/>
                <w:szCs w:val="16"/>
              </w:rPr>
              <w:br/>
              <w:t>standardi (%)</w:t>
            </w:r>
          </w:p>
        </w:tc>
        <w:tc>
          <w:tcPr>
            <w:tcW w:w="274" w:type="pct"/>
            <w:shd w:val="clear" w:color="auto" w:fill="auto"/>
            <w:vAlign w:val="center"/>
            <w:hideMark/>
          </w:tcPr>
          <w:p w14:paraId="0A35BEAA" w14:textId="77777777" w:rsidR="00F53AB2" w:rsidRPr="007B3AE5" w:rsidRDefault="00F53AB2" w:rsidP="003C3DAA">
            <w:pPr>
              <w:jc w:val="center"/>
              <w:rPr>
                <w:b/>
                <w:bCs/>
                <w:color w:val="000000"/>
                <w:sz w:val="16"/>
                <w:szCs w:val="16"/>
              </w:rPr>
            </w:pPr>
            <w:r w:rsidRPr="007B3AE5">
              <w:rPr>
                <w:b/>
                <w:bCs/>
                <w:color w:val="000000"/>
                <w:sz w:val="16"/>
                <w:szCs w:val="16"/>
              </w:rPr>
              <w:t>Ispunjeni</w:t>
            </w:r>
            <w:r w:rsidRPr="007B3AE5">
              <w:rPr>
                <w:b/>
                <w:bCs/>
                <w:color w:val="000000"/>
                <w:sz w:val="16"/>
                <w:szCs w:val="16"/>
              </w:rPr>
              <w:br/>
              <w:t>standardi</w:t>
            </w:r>
          </w:p>
        </w:tc>
        <w:tc>
          <w:tcPr>
            <w:tcW w:w="274" w:type="pct"/>
            <w:shd w:val="clear" w:color="auto" w:fill="auto"/>
            <w:vAlign w:val="center"/>
            <w:hideMark/>
          </w:tcPr>
          <w:p w14:paraId="4AE02F43" w14:textId="77777777" w:rsidR="00F53AB2" w:rsidRPr="007B3AE5" w:rsidRDefault="00F53AB2" w:rsidP="003C3DAA">
            <w:pPr>
              <w:jc w:val="center"/>
              <w:rPr>
                <w:b/>
                <w:bCs/>
                <w:color w:val="000000"/>
                <w:sz w:val="16"/>
                <w:szCs w:val="16"/>
              </w:rPr>
            </w:pPr>
            <w:r w:rsidRPr="007B3AE5">
              <w:rPr>
                <w:b/>
                <w:bCs/>
                <w:color w:val="000000"/>
                <w:sz w:val="16"/>
                <w:szCs w:val="16"/>
              </w:rPr>
              <w:t>Ispunjeni</w:t>
            </w:r>
            <w:r w:rsidRPr="007B3AE5">
              <w:rPr>
                <w:b/>
                <w:bCs/>
                <w:color w:val="000000"/>
                <w:sz w:val="16"/>
                <w:szCs w:val="16"/>
              </w:rPr>
              <w:br/>
              <w:t>standardi (%)</w:t>
            </w:r>
          </w:p>
        </w:tc>
        <w:tc>
          <w:tcPr>
            <w:tcW w:w="274" w:type="pct"/>
            <w:shd w:val="clear" w:color="auto" w:fill="F2F2F2" w:themeFill="background1" w:themeFillShade="F2"/>
            <w:vAlign w:val="center"/>
            <w:hideMark/>
          </w:tcPr>
          <w:p w14:paraId="1581FD53" w14:textId="77777777" w:rsidR="00F53AB2" w:rsidRPr="007B3AE5" w:rsidRDefault="00F53AB2" w:rsidP="003C3DAA">
            <w:pPr>
              <w:jc w:val="center"/>
              <w:rPr>
                <w:b/>
                <w:bCs/>
                <w:color w:val="000000"/>
                <w:sz w:val="16"/>
                <w:szCs w:val="16"/>
              </w:rPr>
            </w:pPr>
            <w:r w:rsidRPr="007B3AE5">
              <w:rPr>
                <w:b/>
                <w:bCs/>
                <w:color w:val="000000"/>
                <w:sz w:val="16"/>
                <w:szCs w:val="16"/>
              </w:rPr>
              <w:t>Ispunjeni</w:t>
            </w:r>
            <w:r w:rsidRPr="007B3AE5">
              <w:rPr>
                <w:b/>
                <w:bCs/>
                <w:color w:val="000000"/>
                <w:sz w:val="16"/>
                <w:szCs w:val="16"/>
              </w:rPr>
              <w:br/>
              <w:t>standardi</w:t>
            </w:r>
          </w:p>
        </w:tc>
        <w:tc>
          <w:tcPr>
            <w:tcW w:w="274" w:type="pct"/>
            <w:shd w:val="clear" w:color="auto" w:fill="F2F2F2" w:themeFill="background1" w:themeFillShade="F2"/>
            <w:vAlign w:val="center"/>
            <w:hideMark/>
          </w:tcPr>
          <w:p w14:paraId="36E026C7" w14:textId="77777777" w:rsidR="00F53AB2" w:rsidRPr="007B3AE5" w:rsidRDefault="00F53AB2" w:rsidP="003C3DAA">
            <w:pPr>
              <w:jc w:val="center"/>
              <w:rPr>
                <w:b/>
                <w:bCs/>
                <w:color w:val="000000"/>
                <w:sz w:val="16"/>
                <w:szCs w:val="16"/>
              </w:rPr>
            </w:pPr>
            <w:r w:rsidRPr="007B3AE5">
              <w:rPr>
                <w:b/>
                <w:bCs/>
                <w:color w:val="000000"/>
                <w:sz w:val="16"/>
                <w:szCs w:val="16"/>
              </w:rPr>
              <w:t>Ispunjeni</w:t>
            </w:r>
            <w:r w:rsidRPr="007B3AE5">
              <w:rPr>
                <w:b/>
                <w:bCs/>
                <w:color w:val="000000"/>
                <w:sz w:val="16"/>
                <w:szCs w:val="16"/>
              </w:rPr>
              <w:br/>
              <w:t>standardi (%)</w:t>
            </w:r>
          </w:p>
        </w:tc>
        <w:tc>
          <w:tcPr>
            <w:tcW w:w="274" w:type="pct"/>
            <w:shd w:val="clear" w:color="auto" w:fill="auto"/>
            <w:vAlign w:val="center"/>
            <w:hideMark/>
          </w:tcPr>
          <w:p w14:paraId="503C8106" w14:textId="77777777" w:rsidR="00F53AB2" w:rsidRPr="007B3AE5" w:rsidRDefault="00F53AB2" w:rsidP="003C3DAA">
            <w:pPr>
              <w:jc w:val="center"/>
              <w:rPr>
                <w:b/>
                <w:bCs/>
                <w:color w:val="000000"/>
                <w:sz w:val="16"/>
                <w:szCs w:val="16"/>
              </w:rPr>
            </w:pPr>
            <w:r w:rsidRPr="007B3AE5">
              <w:rPr>
                <w:b/>
                <w:bCs/>
                <w:color w:val="000000"/>
                <w:sz w:val="16"/>
                <w:szCs w:val="16"/>
              </w:rPr>
              <w:t>Ispunjeni</w:t>
            </w:r>
            <w:r w:rsidRPr="007B3AE5">
              <w:rPr>
                <w:b/>
                <w:bCs/>
                <w:color w:val="000000"/>
                <w:sz w:val="16"/>
                <w:szCs w:val="16"/>
              </w:rPr>
              <w:br/>
              <w:t>standardi</w:t>
            </w:r>
          </w:p>
        </w:tc>
        <w:tc>
          <w:tcPr>
            <w:tcW w:w="274" w:type="pct"/>
            <w:shd w:val="clear" w:color="auto" w:fill="auto"/>
            <w:vAlign w:val="center"/>
            <w:hideMark/>
          </w:tcPr>
          <w:p w14:paraId="3C2EB020" w14:textId="77777777" w:rsidR="00F53AB2" w:rsidRPr="007B3AE5" w:rsidRDefault="00F53AB2" w:rsidP="003C3DAA">
            <w:pPr>
              <w:jc w:val="center"/>
              <w:rPr>
                <w:b/>
                <w:bCs/>
                <w:color w:val="000000"/>
                <w:sz w:val="16"/>
                <w:szCs w:val="16"/>
              </w:rPr>
            </w:pPr>
            <w:r w:rsidRPr="007B3AE5">
              <w:rPr>
                <w:b/>
                <w:bCs/>
                <w:color w:val="000000"/>
                <w:sz w:val="16"/>
                <w:szCs w:val="16"/>
              </w:rPr>
              <w:t>Ispunjeni</w:t>
            </w:r>
            <w:r w:rsidRPr="007B3AE5">
              <w:rPr>
                <w:b/>
                <w:bCs/>
                <w:color w:val="000000"/>
                <w:sz w:val="16"/>
                <w:szCs w:val="16"/>
              </w:rPr>
              <w:br/>
              <w:t>standardi (%)</w:t>
            </w:r>
          </w:p>
        </w:tc>
        <w:tc>
          <w:tcPr>
            <w:tcW w:w="274" w:type="pct"/>
            <w:shd w:val="clear" w:color="auto" w:fill="F2F2F2" w:themeFill="background1" w:themeFillShade="F2"/>
            <w:vAlign w:val="center"/>
            <w:hideMark/>
          </w:tcPr>
          <w:p w14:paraId="66279982" w14:textId="77777777" w:rsidR="00F53AB2" w:rsidRPr="007B3AE5" w:rsidRDefault="00F53AB2" w:rsidP="003C3DAA">
            <w:pPr>
              <w:jc w:val="center"/>
              <w:rPr>
                <w:b/>
                <w:bCs/>
                <w:color w:val="000000"/>
                <w:sz w:val="16"/>
                <w:szCs w:val="16"/>
              </w:rPr>
            </w:pPr>
            <w:r w:rsidRPr="007B3AE5">
              <w:rPr>
                <w:b/>
                <w:bCs/>
                <w:color w:val="000000"/>
                <w:sz w:val="16"/>
                <w:szCs w:val="16"/>
              </w:rPr>
              <w:t>Ispunjeni</w:t>
            </w:r>
            <w:r w:rsidRPr="007B3AE5">
              <w:rPr>
                <w:b/>
                <w:bCs/>
                <w:color w:val="000000"/>
                <w:sz w:val="16"/>
                <w:szCs w:val="16"/>
              </w:rPr>
              <w:br/>
              <w:t>standardi</w:t>
            </w:r>
          </w:p>
        </w:tc>
        <w:tc>
          <w:tcPr>
            <w:tcW w:w="274" w:type="pct"/>
            <w:shd w:val="clear" w:color="auto" w:fill="F2F2F2" w:themeFill="background1" w:themeFillShade="F2"/>
            <w:vAlign w:val="center"/>
            <w:hideMark/>
          </w:tcPr>
          <w:p w14:paraId="183900EC" w14:textId="77777777" w:rsidR="00F53AB2" w:rsidRPr="007B3AE5" w:rsidRDefault="00F53AB2" w:rsidP="003C3DAA">
            <w:pPr>
              <w:jc w:val="center"/>
              <w:rPr>
                <w:b/>
                <w:bCs/>
                <w:color w:val="000000"/>
                <w:sz w:val="16"/>
                <w:szCs w:val="16"/>
              </w:rPr>
            </w:pPr>
            <w:r w:rsidRPr="007B3AE5">
              <w:rPr>
                <w:b/>
                <w:bCs/>
                <w:color w:val="000000"/>
                <w:sz w:val="16"/>
                <w:szCs w:val="16"/>
              </w:rPr>
              <w:t>Ispunjeni</w:t>
            </w:r>
            <w:r w:rsidRPr="007B3AE5">
              <w:rPr>
                <w:b/>
                <w:bCs/>
                <w:color w:val="000000"/>
                <w:sz w:val="16"/>
                <w:szCs w:val="16"/>
              </w:rPr>
              <w:br/>
              <w:t>standardi (%)</w:t>
            </w:r>
          </w:p>
        </w:tc>
      </w:tr>
      <w:tr w:rsidR="00F53AB2" w:rsidRPr="007B3AE5" w14:paraId="183FB5A3" w14:textId="77777777" w:rsidTr="002263D5">
        <w:trPr>
          <w:trHeight w:val="290"/>
        </w:trPr>
        <w:tc>
          <w:tcPr>
            <w:tcW w:w="199" w:type="pct"/>
            <w:shd w:val="clear" w:color="auto" w:fill="auto"/>
            <w:noWrap/>
            <w:vAlign w:val="center"/>
            <w:hideMark/>
          </w:tcPr>
          <w:p w14:paraId="38E609E0" w14:textId="77777777" w:rsidR="00F53AB2" w:rsidRPr="00E51207" w:rsidRDefault="00F53AB2" w:rsidP="003C3DAA">
            <w:pPr>
              <w:jc w:val="right"/>
              <w:rPr>
                <w:color w:val="000000"/>
                <w:sz w:val="16"/>
                <w:szCs w:val="16"/>
              </w:rPr>
            </w:pPr>
            <w:r w:rsidRPr="00E51207">
              <w:rPr>
                <w:color w:val="000000"/>
                <w:sz w:val="16"/>
                <w:szCs w:val="16"/>
              </w:rPr>
              <w:t>1.</w:t>
            </w:r>
          </w:p>
        </w:tc>
        <w:tc>
          <w:tcPr>
            <w:tcW w:w="2060" w:type="pct"/>
            <w:shd w:val="clear" w:color="auto" w:fill="auto"/>
            <w:noWrap/>
            <w:vAlign w:val="center"/>
            <w:hideMark/>
          </w:tcPr>
          <w:p w14:paraId="6C15A3C6" w14:textId="77777777" w:rsidR="00F53AB2" w:rsidRPr="00E51207" w:rsidRDefault="00F53AB2" w:rsidP="003C3DAA">
            <w:pPr>
              <w:rPr>
                <w:color w:val="000000"/>
                <w:sz w:val="16"/>
                <w:szCs w:val="16"/>
              </w:rPr>
            </w:pPr>
            <w:r w:rsidRPr="00E51207">
              <w:rPr>
                <w:color w:val="000000"/>
                <w:sz w:val="16"/>
                <w:szCs w:val="16"/>
              </w:rPr>
              <w:t>Regulatorni odbor željeznica BiH</w:t>
            </w:r>
          </w:p>
        </w:tc>
        <w:tc>
          <w:tcPr>
            <w:tcW w:w="274" w:type="pct"/>
            <w:shd w:val="clear" w:color="auto" w:fill="F2F2F2" w:themeFill="background1" w:themeFillShade="F2"/>
            <w:noWrap/>
            <w:vAlign w:val="center"/>
            <w:hideMark/>
          </w:tcPr>
          <w:p w14:paraId="1538D520"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4054D935"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121DA305" w14:textId="77777777" w:rsidR="00F53AB2" w:rsidRPr="00E51207" w:rsidRDefault="00F53AB2" w:rsidP="003C3DAA">
            <w:pPr>
              <w:jc w:val="center"/>
              <w:rPr>
                <w:color w:val="000000"/>
                <w:sz w:val="16"/>
                <w:szCs w:val="16"/>
              </w:rPr>
            </w:pPr>
            <w:r w:rsidRPr="00E51207">
              <w:rPr>
                <w:color w:val="000000"/>
                <w:sz w:val="16"/>
                <w:szCs w:val="16"/>
              </w:rPr>
              <w:t>5/38</w:t>
            </w:r>
          </w:p>
        </w:tc>
        <w:tc>
          <w:tcPr>
            <w:tcW w:w="274" w:type="pct"/>
            <w:shd w:val="clear" w:color="auto" w:fill="auto"/>
            <w:noWrap/>
            <w:vAlign w:val="center"/>
            <w:hideMark/>
          </w:tcPr>
          <w:p w14:paraId="1603A55A" w14:textId="77777777" w:rsidR="00F53AB2" w:rsidRPr="00E51207" w:rsidRDefault="00F53AB2" w:rsidP="003C3DAA">
            <w:pPr>
              <w:jc w:val="right"/>
              <w:rPr>
                <w:color w:val="000000"/>
                <w:sz w:val="16"/>
                <w:szCs w:val="16"/>
              </w:rPr>
            </w:pPr>
            <w:r w:rsidRPr="00E51207">
              <w:rPr>
                <w:color w:val="000000"/>
                <w:sz w:val="16"/>
                <w:szCs w:val="16"/>
              </w:rPr>
              <w:t>13,16%</w:t>
            </w:r>
          </w:p>
        </w:tc>
        <w:tc>
          <w:tcPr>
            <w:tcW w:w="274" w:type="pct"/>
            <w:shd w:val="clear" w:color="auto" w:fill="F2F2F2" w:themeFill="background1" w:themeFillShade="F2"/>
            <w:noWrap/>
            <w:vAlign w:val="center"/>
            <w:hideMark/>
          </w:tcPr>
          <w:p w14:paraId="24EB1975" w14:textId="77777777" w:rsidR="00F53AB2" w:rsidRPr="00E51207" w:rsidRDefault="00F53AB2" w:rsidP="003C3DAA">
            <w:pPr>
              <w:jc w:val="center"/>
              <w:rPr>
                <w:color w:val="000000"/>
                <w:sz w:val="16"/>
                <w:szCs w:val="16"/>
              </w:rPr>
            </w:pPr>
            <w:r w:rsidRPr="00E51207">
              <w:rPr>
                <w:color w:val="000000"/>
                <w:sz w:val="16"/>
                <w:szCs w:val="16"/>
              </w:rPr>
              <w:t>6/38</w:t>
            </w:r>
          </w:p>
        </w:tc>
        <w:tc>
          <w:tcPr>
            <w:tcW w:w="274" w:type="pct"/>
            <w:shd w:val="clear" w:color="auto" w:fill="F2F2F2" w:themeFill="background1" w:themeFillShade="F2"/>
            <w:noWrap/>
            <w:vAlign w:val="center"/>
            <w:hideMark/>
          </w:tcPr>
          <w:p w14:paraId="6A3C53F9" w14:textId="77777777" w:rsidR="00F53AB2" w:rsidRPr="00E51207" w:rsidRDefault="00F53AB2" w:rsidP="003C3DAA">
            <w:pPr>
              <w:jc w:val="right"/>
              <w:rPr>
                <w:color w:val="000000"/>
                <w:sz w:val="16"/>
                <w:szCs w:val="16"/>
              </w:rPr>
            </w:pPr>
            <w:r w:rsidRPr="00E51207">
              <w:rPr>
                <w:color w:val="000000"/>
                <w:sz w:val="16"/>
                <w:szCs w:val="16"/>
              </w:rPr>
              <w:t>15,79%</w:t>
            </w:r>
          </w:p>
        </w:tc>
        <w:tc>
          <w:tcPr>
            <w:tcW w:w="274" w:type="pct"/>
            <w:shd w:val="clear" w:color="auto" w:fill="auto"/>
            <w:noWrap/>
            <w:vAlign w:val="center"/>
            <w:hideMark/>
          </w:tcPr>
          <w:p w14:paraId="276E79AF" w14:textId="77777777" w:rsidR="00F53AB2" w:rsidRPr="00E51207" w:rsidRDefault="00F53AB2" w:rsidP="003C3DAA">
            <w:pPr>
              <w:jc w:val="center"/>
              <w:rPr>
                <w:color w:val="000000"/>
                <w:sz w:val="16"/>
                <w:szCs w:val="16"/>
              </w:rPr>
            </w:pPr>
            <w:r w:rsidRPr="00E51207">
              <w:rPr>
                <w:color w:val="000000"/>
                <w:sz w:val="16"/>
                <w:szCs w:val="16"/>
              </w:rPr>
              <w:t>6/38</w:t>
            </w:r>
          </w:p>
        </w:tc>
        <w:tc>
          <w:tcPr>
            <w:tcW w:w="274" w:type="pct"/>
            <w:shd w:val="clear" w:color="auto" w:fill="auto"/>
            <w:noWrap/>
            <w:vAlign w:val="center"/>
            <w:hideMark/>
          </w:tcPr>
          <w:p w14:paraId="543EFC93" w14:textId="77777777" w:rsidR="00F53AB2" w:rsidRPr="00E51207" w:rsidRDefault="00F53AB2" w:rsidP="003C3DAA">
            <w:pPr>
              <w:jc w:val="right"/>
              <w:rPr>
                <w:color w:val="000000"/>
                <w:sz w:val="16"/>
                <w:szCs w:val="16"/>
              </w:rPr>
            </w:pPr>
            <w:r w:rsidRPr="00E51207">
              <w:rPr>
                <w:color w:val="000000"/>
                <w:sz w:val="16"/>
                <w:szCs w:val="16"/>
              </w:rPr>
              <w:t>15,79%</w:t>
            </w:r>
          </w:p>
        </w:tc>
        <w:tc>
          <w:tcPr>
            <w:tcW w:w="274" w:type="pct"/>
            <w:shd w:val="clear" w:color="auto" w:fill="F2F2F2" w:themeFill="background1" w:themeFillShade="F2"/>
            <w:noWrap/>
            <w:vAlign w:val="center"/>
            <w:hideMark/>
          </w:tcPr>
          <w:p w14:paraId="0F6C709E" w14:textId="77777777" w:rsidR="00F53AB2" w:rsidRPr="00E51207" w:rsidRDefault="00F53AB2" w:rsidP="003C3DAA">
            <w:pPr>
              <w:jc w:val="center"/>
              <w:rPr>
                <w:color w:val="000000"/>
                <w:sz w:val="16"/>
                <w:szCs w:val="16"/>
              </w:rPr>
            </w:pPr>
            <w:r w:rsidRPr="00E51207">
              <w:rPr>
                <w:color w:val="000000"/>
                <w:sz w:val="16"/>
                <w:szCs w:val="16"/>
              </w:rPr>
              <w:t>6/38</w:t>
            </w:r>
          </w:p>
        </w:tc>
        <w:tc>
          <w:tcPr>
            <w:tcW w:w="274" w:type="pct"/>
            <w:shd w:val="clear" w:color="auto" w:fill="F2F2F2" w:themeFill="background1" w:themeFillShade="F2"/>
            <w:noWrap/>
            <w:vAlign w:val="center"/>
            <w:hideMark/>
          </w:tcPr>
          <w:p w14:paraId="4E290F60" w14:textId="77777777" w:rsidR="00F53AB2" w:rsidRPr="00E51207" w:rsidRDefault="00F53AB2" w:rsidP="003C3DAA">
            <w:pPr>
              <w:jc w:val="right"/>
              <w:rPr>
                <w:color w:val="000000"/>
                <w:sz w:val="16"/>
                <w:szCs w:val="16"/>
              </w:rPr>
            </w:pPr>
            <w:r w:rsidRPr="00E51207">
              <w:rPr>
                <w:color w:val="000000"/>
                <w:sz w:val="16"/>
                <w:szCs w:val="16"/>
              </w:rPr>
              <w:t>15,79%</w:t>
            </w:r>
          </w:p>
        </w:tc>
      </w:tr>
      <w:tr w:rsidR="00F53AB2" w:rsidRPr="007B3AE5" w14:paraId="1D08B00F" w14:textId="77777777" w:rsidTr="002263D5">
        <w:trPr>
          <w:trHeight w:val="290"/>
        </w:trPr>
        <w:tc>
          <w:tcPr>
            <w:tcW w:w="199" w:type="pct"/>
            <w:shd w:val="clear" w:color="auto" w:fill="auto"/>
            <w:noWrap/>
            <w:vAlign w:val="center"/>
            <w:hideMark/>
          </w:tcPr>
          <w:p w14:paraId="5F27E6EF" w14:textId="77777777" w:rsidR="00F53AB2" w:rsidRPr="00E51207" w:rsidRDefault="00F53AB2" w:rsidP="003C3DAA">
            <w:pPr>
              <w:jc w:val="right"/>
              <w:rPr>
                <w:color w:val="000000"/>
                <w:sz w:val="16"/>
                <w:szCs w:val="16"/>
              </w:rPr>
            </w:pPr>
            <w:r w:rsidRPr="00E51207">
              <w:rPr>
                <w:color w:val="000000"/>
                <w:sz w:val="16"/>
                <w:szCs w:val="16"/>
              </w:rPr>
              <w:t>2.</w:t>
            </w:r>
          </w:p>
        </w:tc>
        <w:tc>
          <w:tcPr>
            <w:tcW w:w="2060" w:type="pct"/>
            <w:shd w:val="clear" w:color="auto" w:fill="auto"/>
            <w:noWrap/>
            <w:vAlign w:val="center"/>
            <w:hideMark/>
          </w:tcPr>
          <w:p w14:paraId="18D34BEC" w14:textId="77777777" w:rsidR="00F53AB2" w:rsidRPr="00E51207" w:rsidRDefault="00F53AB2" w:rsidP="003C3DAA">
            <w:pPr>
              <w:rPr>
                <w:color w:val="000000"/>
                <w:sz w:val="16"/>
                <w:szCs w:val="16"/>
              </w:rPr>
            </w:pPr>
            <w:r w:rsidRPr="00E51207">
              <w:rPr>
                <w:color w:val="000000"/>
                <w:sz w:val="16"/>
                <w:szCs w:val="16"/>
              </w:rPr>
              <w:t>Obavještajno-sigurnosna agencija</w:t>
            </w:r>
          </w:p>
        </w:tc>
        <w:tc>
          <w:tcPr>
            <w:tcW w:w="274" w:type="pct"/>
            <w:shd w:val="clear" w:color="auto" w:fill="F2F2F2" w:themeFill="background1" w:themeFillShade="F2"/>
            <w:noWrap/>
            <w:vAlign w:val="center"/>
            <w:hideMark/>
          </w:tcPr>
          <w:p w14:paraId="7D146231"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1207DA41"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524CAB2E"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624FED0F"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2F464120"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353D38F3"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08BE9155" w14:textId="77777777" w:rsidR="00F53AB2" w:rsidRPr="00E51207" w:rsidRDefault="00F53AB2" w:rsidP="003C3DAA">
            <w:pPr>
              <w:jc w:val="center"/>
              <w:rPr>
                <w:color w:val="000000"/>
                <w:sz w:val="16"/>
                <w:szCs w:val="16"/>
              </w:rPr>
            </w:pPr>
            <w:r w:rsidRPr="00E51207">
              <w:rPr>
                <w:color w:val="000000"/>
                <w:sz w:val="16"/>
                <w:szCs w:val="16"/>
              </w:rPr>
              <w:t>7/38</w:t>
            </w:r>
          </w:p>
        </w:tc>
        <w:tc>
          <w:tcPr>
            <w:tcW w:w="274" w:type="pct"/>
            <w:shd w:val="clear" w:color="auto" w:fill="auto"/>
            <w:noWrap/>
            <w:vAlign w:val="center"/>
            <w:hideMark/>
          </w:tcPr>
          <w:p w14:paraId="11DA0F32" w14:textId="77777777" w:rsidR="00F53AB2" w:rsidRPr="00E51207" w:rsidRDefault="00F53AB2" w:rsidP="003C3DAA">
            <w:pPr>
              <w:jc w:val="right"/>
              <w:rPr>
                <w:color w:val="000000"/>
                <w:sz w:val="16"/>
                <w:szCs w:val="16"/>
              </w:rPr>
            </w:pPr>
            <w:r w:rsidRPr="00E51207">
              <w:rPr>
                <w:color w:val="000000"/>
                <w:sz w:val="16"/>
                <w:szCs w:val="16"/>
              </w:rPr>
              <w:t>18,42%</w:t>
            </w:r>
          </w:p>
        </w:tc>
        <w:tc>
          <w:tcPr>
            <w:tcW w:w="274" w:type="pct"/>
            <w:shd w:val="clear" w:color="auto" w:fill="F2F2F2" w:themeFill="background1" w:themeFillShade="F2"/>
            <w:noWrap/>
            <w:vAlign w:val="center"/>
            <w:hideMark/>
          </w:tcPr>
          <w:p w14:paraId="7585B62C"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25AA9AFD" w14:textId="77777777" w:rsidR="00F53AB2" w:rsidRPr="00E51207" w:rsidRDefault="00F53AB2" w:rsidP="003C3DAA">
            <w:pPr>
              <w:jc w:val="right"/>
              <w:rPr>
                <w:color w:val="000000"/>
                <w:sz w:val="16"/>
                <w:szCs w:val="16"/>
              </w:rPr>
            </w:pPr>
            <w:r w:rsidRPr="00E51207">
              <w:rPr>
                <w:color w:val="000000"/>
                <w:sz w:val="16"/>
                <w:szCs w:val="16"/>
              </w:rPr>
              <w:t>/</w:t>
            </w:r>
          </w:p>
        </w:tc>
      </w:tr>
      <w:tr w:rsidR="00F53AB2" w:rsidRPr="007B3AE5" w14:paraId="5492A592" w14:textId="77777777" w:rsidTr="002263D5">
        <w:trPr>
          <w:trHeight w:val="290"/>
        </w:trPr>
        <w:tc>
          <w:tcPr>
            <w:tcW w:w="199" w:type="pct"/>
            <w:shd w:val="clear" w:color="auto" w:fill="auto"/>
            <w:noWrap/>
            <w:vAlign w:val="center"/>
            <w:hideMark/>
          </w:tcPr>
          <w:p w14:paraId="7156E23F" w14:textId="77777777" w:rsidR="00F53AB2" w:rsidRPr="00E51207" w:rsidRDefault="00F53AB2" w:rsidP="003C3DAA">
            <w:pPr>
              <w:jc w:val="right"/>
              <w:rPr>
                <w:color w:val="000000"/>
                <w:sz w:val="16"/>
                <w:szCs w:val="16"/>
              </w:rPr>
            </w:pPr>
            <w:r w:rsidRPr="00E51207">
              <w:rPr>
                <w:color w:val="000000"/>
                <w:sz w:val="16"/>
                <w:szCs w:val="16"/>
              </w:rPr>
              <w:t>3.</w:t>
            </w:r>
          </w:p>
        </w:tc>
        <w:tc>
          <w:tcPr>
            <w:tcW w:w="2060" w:type="pct"/>
            <w:shd w:val="clear" w:color="auto" w:fill="auto"/>
            <w:noWrap/>
            <w:vAlign w:val="center"/>
            <w:hideMark/>
          </w:tcPr>
          <w:p w14:paraId="2D3290EF" w14:textId="77777777" w:rsidR="00F53AB2" w:rsidRPr="00E51207" w:rsidRDefault="00F53AB2" w:rsidP="003C3DAA">
            <w:pPr>
              <w:rPr>
                <w:color w:val="000000"/>
                <w:sz w:val="16"/>
                <w:szCs w:val="16"/>
              </w:rPr>
            </w:pPr>
            <w:r w:rsidRPr="00E51207">
              <w:rPr>
                <w:color w:val="000000"/>
                <w:sz w:val="16"/>
                <w:szCs w:val="16"/>
              </w:rPr>
              <w:t>Memorijalni centar Srebrenica</w:t>
            </w:r>
          </w:p>
        </w:tc>
        <w:tc>
          <w:tcPr>
            <w:tcW w:w="274" w:type="pct"/>
            <w:shd w:val="clear" w:color="auto" w:fill="F2F2F2" w:themeFill="background1" w:themeFillShade="F2"/>
            <w:noWrap/>
            <w:vAlign w:val="center"/>
            <w:hideMark/>
          </w:tcPr>
          <w:p w14:paraId="07EEF905"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75D3E046"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5C4FC4C1"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7B3C0C88"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49B9B73D" w14:textId="77777777" w:rsidR="00F53AB2" w:rsidRPr="00E51207" w:rsidRDefault="00F53AB2" w:rsidP="003C3DAA">
            <w:pPr>
              <w:jc w:val="center"/>
              <w:rPr>
                <w:color w:val="000000"/>
                <w:sz w:val="16"/>
                <w:szCs w:val="16"/>
              </w:rPr>
            </w:pPr>
            <w:r w:rsidRPr="00E51207">
              <w:rPr>
                <w:color w:val="000000"/>
                <w:sz w:val="16"/>
                <w:szCs w:val="16"/>
              </w:rPr>
              <w:t>8/38</w:t>
            </w:r>
          </w:p>
        </w:tc>
        <w:tc>
          <w:tcPr>
            <w:tcW w:w="274" w:type="pct"/>
            <w:shd w:val="clear" w:color="auto" w:fill="F2F2F2" w:themeFill="background1" w:themeFillShade="F2"/>
            <w:noWrap/>
            <w:vAlign w:val="center"/>
            <w:hideMark/>
          </w:tcPr>
          <w:p w14:paraId="74B7867C" w14:textId="77777777" w:rsidR="00F53AB2" w:rsidRPr="00E51207" w:rsidRDefault="00F53AB2" w:rsidP="003C3DAA">
            <w:pPr>
              <w:jc w:val="right"/>
              <w:rPr>
                <w:color w:val="000000"/>
                <w:sz w:val="16"/>
                <w:szCs w:val="16"/>
              </w:rPr>
            </w:pPr>
            <w:r w:rsidRPr="00E51207">
              <w:rPr>
                <w:color w:val="000000"/>
                <w:sz w:val="16"/>
                <w:szCs w:val="16"/>
              </w:rPr>
              <w:t>21,05%</w:t>
            </w:r>
          </w:p>
        </w:tc>
        <w:tc>
          <w:tcPr>
            <w:tcW w:w="274" w:type="pct"/>
            <w:shd w:val="clear" w:color="auto" w:fill="auto"/>
            <w:noWrap/>
            <w:vAlign w:val="center"/>
            <w:hideMark/>
          </w:tcPr>
          <w:p w14:paraId="3FAF2F65"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3EBA0258"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00F8BCD8"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617159E6" w14:textId="77777777" w:rsidR="00F53AB2" w:rsidRPr="00E51207" w:rsidRDefault="00F53AB2" w:rsidP="003C3DAA">
            <w:pPr>
              <w:jc w:val="right"/>
              <w:rPr>
                <w:color w:val="000000"/>
                <w:sz w:val="16"/>
                <w:szCs w:val="16"/>
              </w:rPr>
            </w:pPr>
            <w:r w:rsidRPr="00E51207">
              <w:rPr>
                <w:color w:val="000000"/>
                <w:sz w:val="16"/>
                <w:szCs w:val="16"/>
              </w:rPr>
              <w:t>/</w:t>
            </w:r>
          </w:p>
        </w:tc>
      </w:tr>
      <w:tr w:rsidR="00F53AB2" w:rsidRPr="007B3AE5" w14:paraId="2010A227" w14:textId="77777777" w:rsidTr="002263D5">
        <w:trPr>
          <w:trHeight w:val="290"/>
        </w:trPr>
        <w:tc>
          <w:tcPr>
            <w:tcW w:w="199" w:type="pct"/>
            <w:shd w:val="clear" w:color="auto" w:fill="auto"/>
            <w:noWrap/>
            <w:vAlign w:val="center"/>
            <w:hideMark/>
          </w:tcPr>
          <w:p w14:paraId="18E6AF41" w14:textId="77777777" w:rsidR="00F53AB2" w:rsidRPr="00E51207" w:rsidRDefault="00F53AB2" w:rsidP="003C3DAA">
            <w:pPr>
              <w:jc w:val="right"/>
              <w:rPr>
                <w:color w:val="000000"/>
                <w:sz w:val="16"/>
                <w:szCs w:val="16"/>
              </w:rPr>
            </w:pPr>
            <w:r w:rsidRPr="00E51207">
              <w:rPr>
                <w:color w:val="000000"/>
                <w:sz w:val="16"/>
                <w:szCs w:val="16"/>
              </w:rPr>
              <w:t>4.</w:t>
            </w:r>
          </w:p>
        </w:tc>
        <w:tc>
          <w:tcPr>
            <w:tcW w:w="2060" w:type="pct"/>
            <w:shd w:val="clear" w:color="auto" w:fill="auto"/>
            <w:noWrap/>
            <w:vAlign w:val="center"/>
            <w:hideMark/>
          </w:tcPr>
          <w:p w14:paraId="64DE0297" w14:textId="77777777" w:rsidR="00F53AB2" w:rsidRPr="00E51207" w:rsidRDefault="00F53AB2" w:rsidP="003C3DAA">
            <w:pPr>
              <w:rPr>
                <w:color w:val="000000"/>
                <w:sz w:val="16"/>
                <w:szCs w:val="16"/>
              </w:rPr>
            </w:pPr>
            <w:r w:rsidRPr="00E51207">
              <w:rPr>
                <w:color w:val="000000"/>
                <w:sz w:val="16"/>
                <w:szCs w:val="16"/>
              </w:rPr>
              <w:t>Odbor državne službe za žalbe BiH</w:t>
            </w:r>
          </w:p>
        </w:tc>
        <w:tc>
          <w:tcPr>
            <w:tcW w:w="274" w:type="pct"/>
            <w:shd w:val="clear" w:color="auto" w:fill="F2F2F2" w:themeFill="background1" w:themeFillShade="F2"/>
            <w:noWrap/>
            <w:vAlign w:val="center"/>
            <w:hideMark/>
          </w:tcPr>
          <w:p w14:paraId="34163A9D"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53D3781E"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72B403FE"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7F0A1317"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408B683E"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3F2AFB59"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6EF96397" w14:textId="77777777" w:rsidR="00F53AB2" w:rsidRPr="00E51207" w:rsidRDefault="00F53AB2" w:rsidP="003C3DAA">
            <w:pPr>
              <w:jc w:val="center"/>
              <w:rPr>
                <w:color w:val="000000"/>
                <w:sz w:val="16"/>
                <w:szCs w:val="16"/>
              </w:rPr>
            </w:pPr>
            <w:r w:rsidRPr="00E51207">
              <w:rPr>
                <w:color w:val="000000"/>
                <w:sz w:val="16"/>
                <w:szCs w:val="16"/>
              </w:rPr>
              <w:t>5/38</w:t>
            </w:r>
          </w:p>
        </w:tc>
        <w:tc>
          <w:tcPr>
            <w:tcW w:w="274" w:type="pct"/>
            <w:shd w:val="clear" w:color="auto" w:fill="auto"/>
            <w:noWrap/>
            <w:vAlign w:val="center"/>
            <w:hideMark/>
          </w:tcPr>
          <w:p w14:paraId="706E8506" w14:textId="77777777" w:rsidR="00F53AB2" w:rsidRPr="00E51207" w:rsidRDefault="00F53AB2" w:rsidP="003C3DAA">
            <w:pPr>
              <w:jc w:val="right"/>
              <w:rPr>
                <w:color w:val="000000"/>
                <w:sz w:val="16"/>
                <w:szCs w:val="16"/>
              </w:rPr>
            </w:pPr>
            <w:r w:rsidRPr="00E51207">
              <w:rPr>
                <w:color w:val="000000"/>
                <w:sz w:val="16"/>
                <w:szCs w:val="16"/>
              </w:rPr>
              <w:t>13,16%</w:t>
            </w:r>
          </w:p>
        </w:tc>
        <w:tc>
          <w:tcPr>
            <w:tcW w:w="274" w:type="pct"/>
            <w:shd w:val="clear" w:color="auto" w:fill="F2F2F2" w:themeFill="background1" w:themeFillShade="F2"/>
            <w:noWrap/>
            <w:vAlign w:val="center"/>
            <w:hideMark/>
          </w:tcPr>
          <w:p w14:paraId="5AF22A0B" w14:textId="77777777" w:rsidR="00F53AB2" w:rsidRPr="00E51207" w:rsidRDefault="00F53AB2" w:rsidP="003C3DAA">
            <w:pPr>
              <w:jc w:val="center"/>
              <w:rPr>
                <w:color w:val="000000"/>
                <w:sz w:val="16"/>
                <w:szCs w:val="16"/>
              </w:rPr>
            </w:pPr>
            <w:r w:rsidRPr="00E51207">
              <w:rPr>
                <w:color w:val="000000"/>
                <w:sz w:val="16"/>
                <w:szCs w:val="16"/>
              </w:rPr>
              <w:t>8/38</w:t>
            </w:r>
          </w:p>
        </w:tc>
        <w:tc>
          <w:tcPr>
            <w:tcW w:w="274" w:type="pct"/>
            <w:shd w:val="clear" w:color="auto" w:fill="F2F2F2" w:themeFill="background1" w:themeFillShade="F2"/>
            <w:noWrap/>
            <w:vAlign w:val="center"/>
            <w:hideMark/>
          </w:tcPr>
          <w:p w14:paraId="1743D35F" w14:textId="77777777" w:rsidR="00F53AB2" w:rsidRPr="00E51207" w:rsidRDefault="00F53AB2" w:rsidP="003C3DAA">
            <w:pPr>
              <w:jc w:val="right"/>
              <w:rPr>
                <w:color w:val="000000"/>
                <w:sz w:val="16"/>
                <w:szCs w:val="16"/>
              </w:rPr>
            </w:pPr>
            <w:r w:rsidRPr="00E51207">
              <w:rPr>
                <w:color w:val="000000"/>
                <w:sz w:val="16"/>
                <w:szCs w:val="16"/>
              </w:rPr>
              <w:t>21,05%</w:t>
            </w:r>
          </w:p>
        </w:tc>
      </w:tr>
      <w:tr w:rsidR="00F53AB2" w:rsidRPr="00E51207" w14:paraId="1166D4B2" w14:textId="77777777" w:rsidTr="002263D5">
        <w:trPr>
          <w:trHeight w:val="290"/>
        </w:trPr>
        <w:tc>
          <w:tcPr>
            <w:tcW w:w="199" w:type="pct"/>
            <w:shd w:val="clear" w:color="auto" w:fill="auto"/>
            <w:noWrap/>
            <w:vAlign w:val="center"/>
            <w:hideMark/>
          </w:tcPr>
          <w:p w14:paraId="39298650" w14:textId="77777777" w:rsidR="00F53AB2" w:rsidRPr="00E51207" w:rsidRDefault="00F53AB2" w:rsidP="003C3DAA">
            <w:pPr>
              <w:jc w:val="right"/>
              <w:rPr>
                <w:color w:val="000000"/>
                <w:sz w:val="16"/>
                <w:szCs w:val="16"/>
              </w:rPr>
            </w:pPr>
            <w:r w:rsidRPr="00E51207">
              <w:rPr>
                <w:color w:val="000000"/>
                <w:sz w:val="16"/>
                <w:szCs w:val="16"/>
              </w:rPr>
              <w:t>5.</w:t>
            </w:r>
          </w:p>
        </w:tc>
        <w:tc>
          <w:tcPr>
            <w:tcW w:w="2060" w:type="pct"/>
            <w:shd w:val="clear" w:color="auto" w:fill="auto"/>
            <w:noWrap/>
            <w:vAlign w:val="center"/>
            <w:hideMark/>
          </w:tcPr>
          <w:p w14:paraId="0912843B" w14:textId="77777777" w:rsidR="00F53AB2" w:rsidRPr="00E51207" w:rsidRDefault="00F53AB2" w:rsidP="003C3DAA">
            <w:pPr>
              <w:rPr>
                <w:color w:val="000000"/>
                <w:sz w:val="16"/>
                <w:szCs w:val="16"/>
              </w:rPr>
            </w:pPr>
            <w:r w:rsidRPr="00E51207">
              <w:rPr>
                <w:color w:val="000000"/>
                <w:sz w:val="16"/>
                <w:szCs w:val="16"/>
              </w:rPr>
              <w:t>Institut za akreditovanje BiH</w:t>
            </w:r>
          </w:p>
        </w:tc>
        <w:tc>
          <w:tcPr>
            <w:tcW w:w="274" w:type="pct"/>
            <w:shd w:val="clear" w:color="auto" w:fill="F2F2F2" w:themeFill="background1" w:themeFillShade="F2"/>
            <w:noWrap/>
            <w:vAlign w:val="center"/>
            <w:hideMark/>
          </w:tcPr>
          <w:p w14:paraId="266784C1"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6C5CB83A"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3C147A4A" w14:textId="77777777" w:rsidR="00F53AB2" w:rsidRPr="00E51207" w:rsidRDefault="00F53AB2" w:rsidP="003C3DAA">
            <w:pPr>
              <w:jc w:val="center"/>
              <w:rPr>
                <w:color w:val="000000"/>
                <w:sz w:val="16"/>
                <w:szCs w:val="16"/>
              </w:rPr>
            </w:pPr>
            <w:r w:rsidRPr="00E51207">
              <w:rPr>
                <w:color w:val="000000"/>
                <w:sz w:val="16"/>
                <w:szCs w:val="16"/>
              </w:rPr>
              <w:t>13/38</w:t>
            </w:r>
          </w:p>
        </w:tc>
        <w:tc>
          <w:tcPr>
            <w:tcW w:w="274" w:type="pct"/>
            <w:shd w:val="clear" w:color="auto" w:fill="auto"/>
            <w:noWrap/>
            <w:vAlign w:val="center"/>
            <w:hideMark/>
          </w:tcPr>
          <w:p w14:paraId="78A42E0A" w14:textId="77777777" w:rsidR="00F53AB2" w:rsidRPr="00E51207" w:rsidRDefault="00F53AB2" w:rsidP="003C3DAA">
            <w:pPr>
              <w:jc w:val="right"/>
              <w:rPr>
                <w:color w:val="000000"/>
                <w:sz w:val="16"/>
                <w:szCs w:val="16"/>
              </w:rPr>
            </w:pPr>
            <w:r w:rsidRPr="00E51207">
              <w:rPr>
                <w:color w:val="000000"/>
                <w:sz w:val="16"/>
                <w:szCs w:val="16"/>
              </w:rPr>
              <w:t>34,21%</w:t>
            </w:r>
          </w:p>
        </w:tc>
        <w:tc>
          <w:tcPr>
            <w:tcW w:w="274" w:type="pct"/>
            <w:shd w:val="clear" w:color="auto" w:fill="F2F2F2" w:themeFill="background1" w:themeFillShade="F2"/>
            <w:noWrap/>
            <w:vAlign w:val="center"/>
            <w:hideMark/>
          </w:tcPr>
          <w:p w14:paraId="4D872893"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552C5B74"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21BD58FE"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780BD8AB"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79841480" w14:textId="77777777" w:rsidR="00F53AB2" w:rsidRPr="00E51207" w:rsidRDefault="00F53AB2" w:rsidP="003C3DAA">
            <w:pPr>
              <w:jc w:val="center"/>
              <w:rPr>
                <w:color w:val="000000"/>
                <w:sz w:val="16"/>
                <w:szCs w:val="16"/>
              </w:rPr>
            </w:pPr>
            <w:r w:rsidRPr="00E51207">
              <w:rPr>
                <w:color w:val="000000"/>
                <w:sz w:val="16"/>
                <w:szCs w:val="16"/>
              </w:rPr>
              <w:t>11/38</w:t>
            </w:r>
          </w:p>
        </w:tc>
        <w:tc>
          <w:tcPr>
            <w:tcW w:w="274" w:type="pct"/>
            <w:shd w:val="clear" w:color="auto" w:fill="F2F2F2" w:themeFill="background1" w:themeFillShade="F2"/>
            <w:noWrap/>
            <w:vAlign w:val="center"/>
            <w:hideMark/>
          </w:tcPr>
          <w:p w14:paraId="5B13606B" w14:textId="77777777" w:rsidR="00F53AB2" w:rsidRPr="00E51207" w:rsidRDefault="00F53AB2" w:rsidP="003C3DAA">
            <w:pPr>
              <w:jc w:val="right"/>
              <w:rPr>
                <w:color w:val="000000"/>
                <w:sz w:val="16"/>
                <w:szCs w:val="16"/>
              </w:rPr>
            </w:pPr>
            <w:r w:rsidRPr="00E51207">
              <w:rPr>
                <w:color w:val="000000"/>
                <w:sz w:val="16"/>
                <w:szCs w:val="16"/>
              </w:rPr>
              <w:t>28,95%</w:t>
            </w:r>
          </w:p>
        </w:tc>
      </w:tr>
      <w:tr w:rsidR="00F53AB2" w:rsidRPr="00E51207" w14:paraId="3CCA324F" w14:textId="77777777" w:rsidTr="002263D5">
        <w:trPr>
          <w:trHeight w:val="290"/>
        </w:trPr>
        <w:tc>
          <w:tcPr>
            <w:tcW w:w="199" w:type="pct"/>
            <w:shd w:val="clear" w:color="auto" w:fill="auto"/>
            <w:noWrap/>
            <w:vAlign w:val="center"/>
            <w:hideMark/>
          </w:tcPr>
          <w:p w14:paraId="30FA72C1" w14:textId="77777777" w:rsidR="00F53AB2" w:rsidRPr="00E51207" w:rsidRDefault="00F53AB2" w:rsidP="003C3DAA">
            <w:pPr>
              <w:jc w:val="right"/>
              <w:rPr>
                <w:color w:val="000000"/>
                <w:sz w:val="16"/>
                <w:szCs w:val="16"/>
              </w:rPr>
            </w:pPr>
            <w:r w:rsidRPr="00E51207">
              <w:rPr>
                <w:color w:val="000000"/>
                <w:sz w:val="16"/>
                <w:szCs w:val="16"/>
              </w:rPr>
              <w:t>6.</w:t>
            </w:r>
          </w:p>
        </w:tc>
        <w:tc>
          <w:tcPr>
            <w:tcW w:w="2060" w:type="pct"/>
            <w:shd w:val="clear" w:color="auto" w:fill="auto"/>
            <w:noWrap/>
            <w:vAlign w:val="center"/>
            <w:hideMark/>
          </w:tcPr>
          <w:p w14:paraId="13111189" w14:textId="77777777" w:rsidR="00F53AB2" w:rsidRPr="00E51207" w:rsidRDefault="00F53AB2" w:rsidP="003C3DAA">
            <w:pPr>
              <w:rPr>
                <w:color w:val="000000"/>
                <w:sz w:val="16"/>
                <w:szCs w:val="16"/>
              </w:rPr>
            </w:pPr>
            <w:r w:rsidRPr="00E51207">
              <w:rPr>
                <w:color w:val="000000"/>
                <w:sz w:val="16"/>
                <w:szCs w:val="16"/>
              </w:rPr>
              <w:t>Vijeće za državnu pomoć BiH</w:t>
            </w:r>
          </w:p>
        </w:tc>
        <w:tc>
          <w:tcPr>
            <w:tcW w:w="274" w:type="pct"/>
            <w:shd w:val="clear" w:color="auto" w:fill="F2F2F2" w:themeFill="background1" w:themeFillShade="F2"/>
            <w:noWrap/>
            <w:vAlign w:val="center"/>
            <w:hideMark/>
          </w:tcPr>
          <w:p w14:paraId="10DA69D2" w14:textId="77777777" w:rsidR="00F53AB2" w:rsidRPr="00E51207" w:rsidRDefault="00F53AB2" w:rsidP="003C3DAA">
            <w:pPr>
              <w:jc w:val="center"/>
              <w:rPr>
                <w:color w:val="000000"/>
                <w:sz w:val="16"/>
                <w:szCs w:val="16"/>
              </w:rPr>
            </w:pPr>
            <w:r w:rsidRPr="00E51207">
              <w:rPr>
                <w:color w:val="000000"/>
                <w:sz w:val="16"/>
                <w:szCs w:val="16"/>
              </w:rPr>
              <w:t>21/38</w:t>
            </w:r>
          </w:p>
        </w:tc>
        <w:tc>
          <w:tcPr>
            <w:tcW w:w="274" w:type="pct"/>
            <w:shd w:val="clear" w:color="auto" w:fill="F2F2F2" w:themeFill="background1" w:themeFillShade="F2"/>
            <w:noWrap/>
            <w:vAlign w:val="center"/>
            <w:hideMark/>
          </w:tcPr>
          <w:p w14:paraId="261A67D8" w14:textId="77777777" w:rsidR="00F53AB2" w:rsidRPr="00E51207" w:rsidRDefault="00F53AB2" w:rsidP="003C3DAA">
            <w:pPr>
              <w:jc w:val="right"/>
              <w:rPr>
                <w:color w:val="000000"/>
                <w:sz w:val="16"/>
                <w:szCs w:val="16"/>
              </w:rPr>
            </w:pPr>
            <w:r w:rsidRPr="00E51207">
              <w:rPr>
                <w:color w:val="000000"/>
                <w:sz w:val="16"/>
                <w:szCs w:val="16"/>
              </w:rPr>
              <w:t>55,26%</w:t>
            </w:r>
          </w:p>
        </w:tc>
        <w:tc>
          <w:tcPr>
            <w:tcW w:w="274" w:type="pct"/>
            <w:shd w:val="clear" w:color="auto" w:fill="auto"/>
            <w:noWrap/>
            <w:vAlign w:val="center"/>
            <w:hideMark/>
          </w:tcPr>
          <w:p w14:paraId="5E0E990B" w14:textId="77777777" w:rsidR="00F53AB2" w:rsidRPr="00E51207" w:rsidRDefault="00F53AB2" w:rsidP="003C3DAA">
            <w:pPr>
              <w:jc w:val="center"/>
              <w:rPr>
                <w:color w:val="000000"/>
                <w:sz w:val="16"/>
                <w:szCs w:val="16"/>
              </w:rPr>
            </w:pPr>
            <w:r w:rsidRPr="00E51207">
              <w:rPr>
                <w:color w:val="000000"/>
                <w:sz w:val="16"/>
                <w:szCs w:val="16"/>
              </w:rPr>
              <w:t>22/38</w:t>
            </w:r>
          </w:p>
        </w:tc>
        <w:tc>
          <w:tcPr>
            <w:tcW w:w="274" w:type="pct"/>
            <w:shd w:val="clear" w:color="auto" w:fill="auto"/>
            <w:noWrap/>
            <w:vAlign w:val="center"/>
            <w:hideMark/>
          </w:tcPr>
          <w:p w14:paraId="71121116" w14:textId="77777777" w:rsidR="00F53AB2" w:rsidRPr="00E51207" w:rsidRDefault="00F53AB2" w:rsidP="003C3DAA">
            <w:pPr>
              <w:jc w:val="right"/>
              <w:rPr>
                <w:color w:val="000000"/>
                <w:sz w:val="16"/>
                <w:szCs w:val="16"/>
              </w:rPr>
            </w:pPr>
            <w:r w:rsidRPr="00E51207">
              <w:rPr>
                <w:color w:val="000000"/>
                <w:sz w:val="16"/>
                <w:szCs w:val="16"/>
              </w:rPr>
              <w:t>57,89%</w:t>
            </w:r>
          </w:p>
        </w:tc>
        <w:tc>
          <w:tcPr>
            <w:tcW w:w="274" w:type="pct"/>
            <w:shd w:val="clear" w:color="auto" w:fill="F2F2F2" w:themeFill="background1" w:themeFillShade="F2"/>
            <w:noWrap/>
            <w:vAlign w:val="center"/>
            <w:hideMark/>
          </w:tcPr>
          <w:p w14:paraId="5D266DE1" w14:textId="77777777" w:rsidR="00F53AB2" w:rsidRPr="00E51207" w:rsidRDefault="00F53AB2" w:rsidP="003C3DAA">
            <w:pPr>
              <w:jc w:val="center"/>
              <w:rPr>
                <w:color w:val="000000"/>
                <w:sz w:val="16"/>
                <w:szCs w:val="16"/>
              </w:rPr>
            </w:pPr>
            <w:r w:rsidRPr="00E51207">
              <w:rPr>
                <w:color w:val="000000"/>
                <w:sz w:val="16"/>
                <w:szCs w:val="16"/>
              </w:rPr>
              <w:t>26/38</w:t>
            </w:r>
          </w:p>
        </w:tc>
        <w:tc>
          <w:tcPr>
            <w:tcW w:w="274" w:type="pct"/>
            <w:shd w:val="clear" w:color="auto" w:fill="F2F2F2" w:themeFill="background1" w:themeFillShade="F2"/>
            <w:noWrap/>
            <w:vAlign w:val="center"/>
            <w:hideMark/>
          </w:tcPr>
          <w:p w14:paraId="2652385E" w14:textId="77777777" w:rsidR="00F53AB2" w:rsidRPr="00E51207" w:rsidRDefault="00F53AB2" w:rsidP="003C3DAA">
            <w:pPr>
              <w:jc w:val="right"/>
              <w:rPr>
                <w:color w:val="000000"/>
                <w:sz w:val="16"/>
                <w:szCs w:val="16"/>
              </w:rPr>
            </w:pPr>
            <w:r w:rsidRPr="00E51207">
              <w:rPr>
                <w:color w:val="000000"/>
                <w:sz w:val="16"/>
                <w:szCs w:val="16"/>
              </w:rPr>
              <w:t>68,42%</w:t>
            </w:r>
          </w:p>
        </w:tc>
        <w:tc>
          <w:tcPr>
            <w:tcW w:w="274" w:type="pct"/>
            <w:shd w:val="clear" w:color="auto" w:fill="auto"/>
            <w:noWrap/>
            <w:vAlign w:val="center"/>
            <w:hideMark/>
          </w:tcPr>
          <w:p w14:paraId="3B4929A4" w14:textId="77777777" w:rsidR="00F53AB2" w:rsidRPr="00E51207" w:rsidRDefault="00F53AB2" w:rsidP="003C3DAA">
            <w:pPr>
              <w:jc w:val="center"/>
              <w:rPr>
                <w:color w:val="000000"/>
                <w:sz w:val="16"/>
                <w:szCs w:val="16"/>
              </w:rPr>
            </w:pPr>
            <w:r w:rsidRPr="00E51207">
              <w:rPr>
                <w:color w:val="000000"/>
                <w:sz w:val="16"/>
                <w:szCs w:val="16"/>
              </w:rPr>
              <w:t>10/38</w:t>
            </w:r>
          </w:p>
        </w:tc>
        <w:tc>
          <w:tcPr>
            <w:tcW w:w="274" w:type="pct"/>
            <w:shd w:val="clear" w:color="auto" w:fill="auto"/>
            <w:noWrap/>
            <w:vAlign w:val="center"/>
            <w:hideMark/>
          </w:tcPr>
          <w:p w14:paraId="00CF5AF7" w14:textId="77777777" w:rsidR="00F53AB2" w:rsidRPr="00E51207" w:rsidRDefault="00F53AB2" w:rsidP="003C3DAA">
            <w:pPr>
              <w:jc w:val="right"/>
              <w:rPr>
                <w:color w:val="000000"/>
                <w:sz w:val="16"/>
                <w:szCs w:val="16"/>
              </w:rPr>
            </w:pPr>
            <w:r w:rsidRPr="00E51207">
              <w:rPr>
                <w:color w:val="000000"/>
                <w:sz w:val="16"/>
                <w:szCs w:val="16"/>
              </w:rPr>
              <w:t>26,32%</w:t>
            </w:r>
          </w:p>
        </w:tc>
        <w:tc>
          <w:tcPr>
            <w:tcW w:w="274" w:type="pct"/>
            <w:shd w:val="clear" w:color="auto" w:fill="F2F2F2" w:themeFill="background1" w:themeFillShade="F2"/>
            <w:noWrap/>
            <w:vAlign w:val="center"/>
            <w:hideMark/>
          </w:tcPr>
          <w:p w14:paraId="2DE155CD" w14:textId="77777777" w:rsidR="00F53AB2" w:rsidRPr="00E51207" w:rsidRDefault="00F53AB2" w:rsidP="003C3DAA">
            <w:pPr>
              <w:jc w:val="center"/>
              <w:rPr>
                <w:color w:val="000000"/>
                <w:sz w:val="16"/>
                <w:szCs w:val="16"/>
              </w:rPr>
            </w:pPr>
            <w:r w:rsidRPr="00E51207">
              <w:rPr>
                <w:color w:val="000000"/>
                <w:sz w:val="16"/>
                <w:szCs w:val="16"/>
              </w:rPr>
              <w:t>11/38</w:t>
            </w:r>
          </w:p>
        </w:tc>
        <w:tc>
          <w:tcPr>
            <w:tcW w:w="274" w:type="pct"/>
            <w:shd w:val="clear" w:color="auto" w:fill="F2F2F2" w:themeFill="background1" w:themeFillShade="F2"/>
            <w:noWrap/>
            <w:vAlign w:val="center"/>
            <w:hideMark/>
          </w:tcPr>
          <w:p w14:paraId="38A5696C" w14:textId="77777777" w:rsidR="00F53AB2" w:rsidRPr="00E51207" w:rsidRDefault="00F53AB2" w:rsidP="003C3DAA">
            <w:pPr>
              <w:jc w:val="right"/>
              <w:rPr>
                <w:color w:val="000000"/>
                <w:sz w:val="16"/>
                <w:szCs w:val="16"/>
              </w:rPr>
            </w:pPr>
            <w:r w:rsidRPr="00E51207">
              <w:rPr>
                <w:color w:val="000000"/>
                <w:sz w:val="16"/>
                <w:szCs w:val="16"/>
              </w:rPr>
              <w:t>28,95%</w:t>
            </w:r>
          </w:p>
        </w:tc>
      </w:tr>
      <w:tr w:rsidR="00F53AB2" w:rsidRPr="00E51207" w14:paraId="08028F71" w14:textId="77777777" w:rsidTr="002263D5">
        <w:trPr>
          <w:trHeight w:val="290"/>
        </w:trPr>
        <w:tc>
          <w:tcPr>
            <w:tcW w:w="199" w:type="pct"/>
            <w:shd w:val="clear" w:color="auto" w:fill="auto"/>
            <w:noWrap/>
            <w:vAlign w:val="center"/>
            <w:hideMark/>
          </w:tcPr>
          <w:p w14:paraId="33F8C93B" w14:textId="77777777" w:rsidR="00F53AB2" w:rsidRPr="00E51207" w:rsidRDefault="00F53AB2" w:rsidP="003C3DAA">
            <w:pPr>
              <w:jc w:val="right"/>
              <w:rPr>
                <w:color w:val="000000"/>
                <w:sz w:val="16"/>
                <w:szCs w:val="16"/>
              </w:rPr>
            </w:pPr>
            <w:r w:rsidRPr="00E51207">
              <w:rPr>
                <w:color w:val="000000"/>
                <w:sz w:val="16"/>
                <w:szCs w:val="16"/>
              </w:rPr>
              <w:t>7.</w:t>
            </w:r>
          </w:p>
        </w:tc>
        <w:tc>
          <w:tcPr>
            <w:tcW w:w="2060" w:type="pct"/>
            <w:shd w:val="clear" w:color="auto" w:fill="auto"/>
            <w:noWrap/>
            <w:vAlign w:val="center"/>
            <w:hideMark/>
          </w:tcPr>
          <w:p w14:paraId="6A4CAFAD" w14:textId="77777777" w:rsidR="00F53AB2" w:rsidRPr="00E51207" w:rsidRDefault="00F53AB2" w:rsidP="003C3DAA">
            <w:pPr>
              <w:rPr>
                <w:color w:val="000000"/>
                <w:sz w:val="16"/>
                <w:szCs w:val="16"/>
              </w:rPr>
            </w:pPr>
            <w:r w:rsidRPr="00E51207">
              <w:rPr>
                <w:color w:val="000000"/>
                <w:sz w:val="16"/>
                <w:szCs w:val="16"/>
              </w:rPr>
              <w:t>Agencija za osiguranje depozita BiH</w:t>
            </w:r>
          </w:p>
        </w:tc>
        <w:tc>
          <w:tcPr>
            <w:tcW w:w="274" w:type="pct"/>
            <w:shd w:val="clear" w:color="auto" w:fill="F2F2F2" w:themeFill="background1" w:themeFillShade="F2"/>
            <w:noWrap/>
            <w:vAlign w:val="center"/>
            <w:hideMark/>
          </w:tcPr>
          <w:p w14:paraId="1AFC787C"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62A6F174"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3989E920" w14:textId="77777777" w:rsidR="00F53AB2" w:rsidRPr="00E51207" w:rsidRDefault="00F53AB2" w:rsidP="003C3DAA">
            <w:pPr>
              <w:jc w:val="center"/>
              <w:rPr>
                <w:color w:val="000000"/>
                <w:sz w:val="16"/>
                <w:szCs w:val="16"/>
              </w:rPr>
            </w:pPr>
            <w:r w:rsidRPr="00E51207">
              <w:rPr>
                <w:color w:val="000000"/>
                <w:sz w:val="16"/>
                <w:szCs w:val="16"/>
              </w:rPr>
              <w:t>12/38</w:t>
            </w:r>
          </w:p>
        </w:tc>
        <w:tc>
          <w:tcPr>
            <w:tcW w:w="274" w:type="pct"/>
            <w:shd w:val="clear" w:color="auto" w:fill="auto"/>
            <w:noWrap/>
            <w:vAlign w:val="center"/>
            <w:hideMark/>
          </w:tcPr>
          <w:p w14:paraId="7AC13F5F" w14:textId="77777777" w:rsidR="00F53AB2" w:rsidRPr="00E51207" w:rsidRDefault="00F53AB2" w:rsidP="003C3DAA">
            <w:pPr>
              <w:jc w:val="right"/>
              <w:rPr>
                <w:color w:val="000000"/>
                <w:sz w:val="16"/>
                <w:szCs w:val="16"/>
              </w:rPr>
            </w:pPr>
            <w:r w:rsidRPr="00E51207">
              <w:rPr>
                <w:color w:val="000000"/>
                <w:sz w:val="16"/>
                <w:szCs w:val="16"/>
              </w:rPr>
              <w:t>31,58%</w:t>
            </w:r>
          </w:p>
        </w:tc>
        <w:tc>
          <w:tcPr>
            <w:tcW w:w="274" w:type="pct"/>
            <w:shd w:val="clear" w:color="auto" w:fill="F2F2F2" w:themeFill="background1" w:themeFillShade="F2"/>
            <w:noWrap/>
            <w:vAlign w:val="center"/>
            <w:hideMark/>
          </w:tcPr>
          <w:p w14:paraId="62A91C0A" w14:textId="77777777" w:rsidR="00F53AB2" w:rsidRPr="00E51207" w:rsidRDefault="00F53AB2" w:rsidP="003C3DAA">
            <w:pPr>
              <w:jc w:val="center"/>
              <w:rPr>
                <w:color w:val="000000"/>
                <w:sz w:val="16"/>
                <w:szCs w:val="16"/>
              </w:rPr>
            </w:pPr>
            <w:r w:rsidRPr="00E51207">
              <w:rPr>
                <w:color w:val="000000"/>
                <w:sz w:val="16"/>
                <w:szCs w:val="16"/>
              </w:rPr>
              <w:t>12/38</w:t>
            </w:r>
          </w:p>
        </w:tc>
        <w:tc>
          <w:tcPr>
            <w:tcW w:w="274" w:type="pct"/>
            <w:shd w:val="clear" w:color="auto" w:fill="F2F2F2" w:themeFill="background1" w:themeFillShade="F2"/>
            <w:noWrap/>
            <w:vAlign w:val="center"/>
            <w:hideMark/>
          </w:tcPr>
          <w:p w14:paraId="0CA5A7A5" w14:textId="77777777" w:rsidR="00F53AB2" w:rsidRPr="00E51207" w:rsidRDefault="00F53AB2" w:rsidP="003C3DAA">
            <w:pPr>
              <w:jc w:val="right"/>
              <w:rPr>
                <w:color w:val="000000"/>
                <w:sz w:val="16"/>
                <w:szCs w:val="16"/>
              </w:rPr>
            </w:pPr>
            <w:r w:rsidRPr="00E51207">
              <w:rPr>
                <w:color w:val="000000"/>
                <w:sz w:val="16"/>
                <w:szCs w:val="16"/>
              </w:rPr>
              <w:t>31,58%</w:t>
            </w:r>
          </w:p>
        </w:tc>
        <w:tc>
          <w:tcPr>
            <w:tcW w:w="274" w:type="pct"/>
            <w:shd w:val="clear" w:color="auto" w:fill="auto"/>
            <w:noWrap/>
            <w:vAlign w:val="center"/>
            <w:hideMark/>
          </w:tcPr>
          <w:p w14:paraId="4A1D09A8" w14:textId="77777777" w:rsidR="00F53AB2" w:rsidRPr="00E51207" w:rsidRDefault="00F53AB2" w:rsidP="003C3DAA">
            <w:pPr>
              <w:jc w:val="center"/>
              <w:rPr>
                <w:color w:val="000000"/>
                <w:sz w:val="16"/>
                <w:szCs w:val="16"/>
              </w:rPr>
            </w:pPr>
            <w:r w:rsidRPr="00E51207">
              <w:rPr>
                <w:color w:val="000000"/>
                <w:sz w:val="16"/>
                <w:szCs w:val="16"/>
              </w:rPr>
              <w:t>12/38</w:t>
            </w:r>
          </w:p>
        </w:tc>
        <w:tc>
          <w:tcPr>
            <w:tcW w:w="274" w:type="pct"/>
            <w:shd w:val="clear" w:color="auto" w:fill="auto"/>
            <w:noWrap/>
            <w:vAlign w:val="center"/>
            <w:hideMark/>
          </w:tcPr>
          <w:p w14:paraId="57084C05" w14:textId="77777777" w:rsidR="00F53AB2" w:rsidRPr="00E51207" w:rsidRDefault="00F53AB2" w:rsidP="003C3DAA">
            <w:pPr>
              <w:jc w:val="right"/>
              <w:rPr>
                <w:color w:val="000000"/>
                <w:sz w:val="16"/>
                <w:szCs w:val="16"/>
              </w:rPr>
            </w:pPr>
            <w:r w:rsidRPr="00E51207">
              <w:rPr>
                <w:color w:val="000000"/>
                <w:sz w:val="16"/>
                <w:szCs w:val="16"/>
              </w:rPr>
              <w:t>31,58%</w:t>
            </w:r>
          </w:p>
        </w:tc>
        <w:tc>
          <w:tcPr>
            <w:tcW w:w="274" w:type="pct"/>
            <w:shd w:val="clear" w:color="auto" w:fill="F2F2F2" w:themeFill="background1" w:themeFillShade="F2"/>
            <w:noWrap/>
            <w:vAlign w:val="center"/>
            <w:hideMark/>
          </w:tcPr>
          <w:p w14:paraId="74593B6C"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1E4995BF" w14:textId="77777777" w:rsidR="00F53AB2" w:rsidRPr="00E51207" w:rsidRDefault="00F53AB2" w:rsidP="003C3DAA">
            <w:pPr>
              <w:jc w:val="right"/>
              <w:rPr>
                <w:color w:val="000000"/>
                <w:sz w:val="16"/>
                <w:szCs w:val="16"/>
              </w:rPr>
            </w:pPr>
            <w:r w:rsidRPr="00E51207">
              <w:rPr>
                <w:color w:val="000000"/>
                <w:sz w:val="16"/>
                <w:szCs w:val="16"/>
              </w:rPr>
              <w:t>/</w:t>
            </w:r>
          </w:p>
        </w:tc>
      </w:tr>
      <w:tr w:rsidR="00F53AB2" w:rsidRPr="00E51207" w14:paraId="4A6B9862" w14:textId="77777777" w:rsidTr="002263D5">
        <w:trPr>
          <w:trHeight w:val="290"/>
        </w:trPr>
        <w:tc>
          <w:tcPr>
            <w:tcW w:w="199" w:type="pct"/>
            <w:shd w:val="clear" w:color="auto" w:fill="auto"/>
            <w:noWrap/>
            <w:vAlign w:val="center"/>
            <w:hideMark/>
          </w:tcPr>
          <w:p w14:paraId="6545875D" w14:textId="77777777" w:rsidR="00F53AB2" w:rsidRPr="00E51207" w:rsidRDefault="00F53AB2" w:rsidP="003C3DAA">
            <w:pPr>
              <w:jc w:val="right"/>
              <w:rPr>
                <w:color w:val="000000"/>
                <w:sz w:val="16"/>
                <w:szCs w:val="16"/>
              </w:rPr>
            </w:pPr>
            <w:r w:rsidRPr="00E51207">
              <w:rPr>
                <w:color w:val="000000"/>
                <w:sz w:val="16"/>
                <w:szCs w:val="16"/>
              </w:rPr>
              <w:t>8.</w:t>
            </w:r>
          </w:p>
        </w:tc>
        <w:tc>
          <w:tcPr>
            <w:tcW w:w="2060" w:type="pct"/>
            <w:shd w:val="clear" w:color="auto" w:fill="auto"/>
            <w:noWrap/>
            <w:vAlign w:val="center"/>
            <w:hideMark/>
          </w:tcPr>
          <w:p w14:paraId="3766E629" w14:textId="77777777" w:rsidR="00F53AB2" w:rsidRPr="00E51207" w:rsidRDefault="00F53AB2" w:rsidP="003C3DAA">
            <w:pPr>
              <w:rPr>
                <w:color w:val="000000"/>
                <w:sz w:val="16"/>
                <w:szCs w:val="16"/>
              </w:rPr>
            </w:pPr>
            <w:r w:rsidRPr="00E51207">
              <w:rPr>
                <w:color w:val="000000"/>
                <w:sz w:val="16"/>
                <w:szCs w:val="16"/>
              </w:rPr>
              <w:t>Uprava BiH za zaštitu zdravlja bilja</w:t>
            </w:r>
          </w:p>
        </w:tc>
        <w:tc>
          <w:tcPr>
            <w:tcW w:w="274" w:type="pct"/>
            <w:shd w:val="clear" w:color="auto" w:fill="F2F2F2" w:themeFill="background1" w:themeFillShade="F2"/>
            <w:noWrap/>
            <w:vAlign w:val="center"/>
            <w:hideMark/>
          </w:tcPr>
          <w:p w14:paraId="0198718A" w14:textId="77777777" w:rsidR="00F53AB2" w:rsidRPr="00E51207" w:rsidRDefault="00F53AB2" w:rsidP="003C3DAA">
            <w:pPr>
              <w:jc w:val="center"/>
              <w:rPr>
                <w:color w:val="000000"/>
                <w:sz w:val="16"/>
                <w:szCs w:val="16"/>
              </w:rPr>
            </w:pPr>
            <w:r w:rsidRPr="00E51207">
              <w:rPr>
                <w:color w:val="000000"/>
                <w:sz w:val="16"/>
                <w:szCs w:val="16"/>
              </w:rPr>
              <w:t>13/38</w:t>
            </w:r>
          </w:p>
        </w:tc>
        <w:tc>
          <w:tcPr>
            <w:tcW w:w="274" w:type="pct"/>
            <w:shd w:val="clear" w:color="auto" w:fill="F2F2F2" w:themeFill="background1" w:themeFillShade="F2"/>
            <w:noWrap/>
            <w:vAlign w:val="center"/>
            <w:hideMark/>
          </w:tcPr>
          <w:p w14:paraId="504868EA" w14:textId="77777777" w:rsidR="00F53AB2" w:rsidRPr="00E51207" w:rsidRDefault="00F53AB2" w:rsidP="003C3DAA">
            <w:pPr>
              <w:jc w:val="right"/>
              <w:rPr>
                <w:color w:val="000000"/>
                <w:sz w:val="16"/>
                <w:szCs w:val="16"/>
              </w:rPr>
            </w:pPr>
            <w:r w:rsidRPr="00E51207">
              <w:rPr>
                <w:color w:val="000000"/>
                <w:sz w:val="16"/>
                <w:szCs w:val="16"/>
              </w:rPr>
              <w:t>34,21%</w:t>
            </w:r>
          </w:p>
        </w:tc>
        <w:tc>
          <w:tcPr>
            <w:tcW w:w="274" w:type="pct"/>
            <w:shd w:val="clear" w:color="auto" w:fill="auto"/>
            <w:noWrap/>
            <w:vAlign w:val="center"/>
            <w:hideMark/>
          </w:tcPr>
          <w:p w14:paraId="04EDB22D" w14:textId="77777777" w:rsidR="00F53AB2" w:rsidRPr="00E51207" w:rsidRDefault="00F53AB2" w:rsidP="003C3DAA">
            <w:pPr>
              <w:jc w:val="center"/>
              <w:rPr>
                <w:color w:val="000000"/>
                <w:sz w:val="16"/>
                <w:szCs w:val="16"/>
              </w:rPr>
            </w:pPr>
            <w:r w:rsidRPr="00E51207">
              <w:rPr>
                <w:color w:val="000000"/>
                <w:sz w:val="16"/>
                <w:szCs w:val="16"/>
              </w:rPr>
              <w:t>12/38</w:t>
            </w:r>
          </w:p>
        </w:tc>
        <w:tc>
          <w:tcPr>
            <w:tcW w:w="274" w:type="pct"/>
            <w:shd w:val="clear" w:color="auto" w:fill="auto"/>
            <w:noWrap/>
            <w:vAlign w:val="center"/>
            <w:hideMark/>
          </w:tcPr>
          <w:p w14:paraId="2DD92D22" w14:textId="77777777" w:rsidR="00F53AB2" w:rsidRPr="00E51207" w:rsidRDefault="00F53AB2" w:rsidP="003C3DAA">
            <w:pPr>
              <w:jc w:val="right"/>
              <w:rPr>
                <w:color w:val="000000"/>
                <w:sz w:val="16"/>
                <w:szCs w:val="16"/>
              </w:rPr>
            </w:pPr>
            <w:r w:rsidRPr="00E51207">
              <w:rPr>
                <w:color w:val="000000"/>
                <w:sz w:val="16"/>
                <w:szCs w:val="16"/>
              </w:rPr>
              <w:t>31,58%</w:t>
            </w:r>
          </w:p>
        </w:tc>
        <w:tc>
          <w:tcPr>
            <w:tcW w:w="274" w:type="pct"/>
            <w:shd w:val="clear" w:color="auto" w:fill="F2F2F2" w:themeFill="background1" w:themeFillShade="F2"/>
            <w:noWrap/>
            <w:vAlign w:val="center"/>
            <w:hideMark/>
          </w:tcPr>
          <w:p w14:paraId="7FA54172"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01CCB94A"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25ECFD90"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0FC84134"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107A21BD"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386D0BD4" w14:textId="77777777" w:rsidR="00F53AB2" w:rsidRPr="00E51207" w:rsidRDefault="00F53AB2" w:rsidP="003C3DAA">
            <w:pPr>
              <w:jc w:val="right"/>
              <w:rPr>
                <w:color w:val="000000"/>
                <w:sz w:val="16"/>
                <w:szCs w:val="16"/>
              </w:rPr>
            </w:pPr>
            <w:r w:rsidRPr="00E51207">
              <w:rPr>
                <w:color w:val="000000"/>
                <w:sz w:val="16"/>
                <w:szCs w:val="16"/>
              </w:rPr>
              <w:t>/</w:t>
            </w:r>
          </w:p>
        </w:tc>
      </w:tr>
      <w:tr w:rsidR="00F53AB2" w:rsidRPr="00E51207" w14:paraId="525BE813" w14:textId="77777777" w:rsidTr="002263D5">
        <w:trPr>
          <w:trHeight w:val="290"/>
        </w:trPr>
        <w:tc>
          <w:tcPr>
            <w:tcW w:w="199" w:type="pct"/>
            <w:shd w:val="clear" w:color="auto" w:fill="auto"/>
            <w:noWrap/>
            <w:vAlign w:val="center"/>
            <w:hideMark/>
          </w:tcPr>
          <w:p w14:paraId="1CC1D5AC" w14:textId="77777777" w:rsidR="00F53AB2" w:rsidRPr="00E51207" w:rsidRDefault="00F53AB2" w:rsidP="003C3DAA">
            <w:pPr>
              <w:jc w:val="right"/>
              <w:rPr>
                <w:color w:val="000000"/>
                <w:sz w:val="16"/>
                <w:szCs w:val="16"/>
              </w:rPr>
            </w:pPr>
            <w:r w:rsidRPr="00E51207">
              <w:rPr>
                <w:color w:val="000000"/>
                <w:sz w:val="16"/>
                <w:szCs w:val="16"/>
              </w:rPr>
              <w:t>9.</w:t>
            </w:r>
          </w:p>
        </w:tc>
        <w:tc>
          <w:tcPr>
            <w:tcW w:w="2060" w:type="pct"/>
            <w:shd w:val="clear" w:color="auto" w:fill="auto"/>
            <w:noWrap/>
            <w:vAlign w:val="center"/>
            <w:hideMark/>
          </w:tcPr>
          <w:p w14:paraId="532EFACE" w14:textId="77777777" w:rsidR="00F53AB2" w:rsidRPr="00E51207" w:rsidRDefault="00F53AB2" w:rsidP="003C3DAA">
            <w:pPr>
              <w:rPr>
                <w:color w:val="000000"/>
                <w:sz w:val="16"/>
                <w:szCs w:val="16"/>
              </w:rPr>
            </w:pPr>
            <w:r w:rsidRPr="00E51207">
              <w:rPr>
                <w:color w:val="000000"/>
                <w:sz w:val="16"/>
                <w:szCs w:val="16"/>
              </w:rPr>
              <w:t>Ured za zakonodavstvo BiH</w:t>
            </w:r>
          </w:p>
        </w:tc>
        <w:tc>
          <w:tcPr>
            <w:tcW w:w="274" w:type="pct"/>
            <w:shd w:val="clear" w:color="auto" w:fill="F2F2F2" w:themeFill="background1" w:themeFillShade="F2"/>
            <w:noWrap/>
            <w:vAlign w:val="center"/>
            <w:hideMark/>
          </w:tcPr>
          <w:p w14:paraId="4C588A13"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7BB5E18D"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0B9AD896" w14:textId="77777777" w:rsidR="00F53AB2" w:rsidRPr="00E51207" w:rsidRDefault="00F53AB2" w:rsidP="003C3DAA">
            <w:pPr>
              <w:jc w:val="center"/>
              <w:rPr>
                <w:color w:val="000000"/>
                <w:sz w:val="16"/>
                <w:szCs w:val="16"/>
              </w:rPr>
            </w:pPr>
            <w:r w:rsidRPr="00E51207">
              <w:rPr>
                <w:color w:val="000000"/>
                <w:sz w:val="16"/>
                <w:szCs w:val="16"/>
              </w:rPr>
              <w:t>16/38</w:t>
            </w:r>
          </w:p>
        </w:tc>
        <w:tc>
          <w:tcPr>
            <w:tcW w:w="274" w:type="pct"/>
            <w:shd w:val="clear" w:color="auto" w:fill="auto"/>
            <w:noWrap/>
            <w:vAlign w:val="center"/>
            <w:hideMark/>
          </w:tcPr>
          <w:p w14:paraId="4E73976E" w14:textId="77777777" w:rsidR="00F53AB2" w:rsidRPr="00E51207" w:rsidRDefault="00F53AB2" w:rsidP="003C3DAA">
            <w:pPr>
              <w:jc w:val="right"/>
              <w:rPr>
                <w:color w:val="000000"/>
                <w:sz w:val="16"/>
                <w:szCs w:val="16"/>
              </w:rPr>
            </w:pPr>
            <w:r w:rsidRPr="00E51207">
              <w:rPr>
                <w:color w:val="000000"/>
                <w:sz w:val="16"/>
                <w:szCs w:val="16"/>
              </w:rPr>
              <w:t>42,11%</w:t>
            </w:r>
          </w:p>
        </w:tc>
        <w:tc>
          <w:tcPr>
            <w:tcW w:w="274" w:type="pct"/>
            <w:shd w:val="clear" w:color="auto" w:fill="F2F2F2" w:themeFill="background1" w:themeFillShade="F2"/>
            <w:noWrap/>
            <w:vAlign w:val="center"/>
            <w:hideMark/>
          </w:tcPr>
          <w:p w14:paraId="438545DB" w14:textId="77777777" w:rsidR="00F53AB2" w:rsidRPr="00E51207" w:rsidRDefault="00F53AB2" w:rsidP="003C3DAA">
            <w:pPr>
              <w:jc w:val="center"/>
              <w:rPr>
                <w:color w:val="000000"/>
                <w:sz w:val="16"/>
                <w:szCs w:val="16"/>
              </w:rPr>
            </w:pPr>
            <w:r w:rsidRPr="00E51207">
              <w:rPr>
                <w:color w:val="000000"/>
                <w:sz w:val="16"/>
                <w:szCs w:val="16"/>
              </w:rPr>
              <w:t>24/38</w:t>
            </w:r>
          </w:p>
        </w:tc>
        <w:tc>
          <w:tcPr>
            <w:tcW w:w="274" w:type="pct"/>
            <w:shd w:val="clear" w:color="auto" w:fill="F2F2F2" w:themeFill="background1" w:themeFillShade="F2"/>
            <w:noWrap/>
            <w:vAlign w:val="center"/>
            <w:hideMark/>
          </w:tcPr>
          <w:p w14:paraId="6AD5B5CD" w14:textId="77777777" w:rsidR="00F53AB2" w:rsidRPr="00E51207" w:rsidRDefault="00F53AB2" w:rsidP="003C3DAA">
            <w:pPr>
              <w:jc w:val="right"/>
              <w:rPr>
                <w:color w:val="000000"/>
                <w:sz w:val="16"/>
                <w:szCs w:val="16"/>
              </w:rPr>
            </w:pPr>
            <w:r w:rsidRPr="00E51207">
              <w:rPr>
                <w:color w:val="000000"/>
                <w:sz w:val="16"/>
                <w:szCs w:val="16"/>
              </w:rPr>
              <w:t>63,16%</w:t>
            </w:r>
          </w:p>
        </w:tc>
        <w:tc>
          <w:tcPr>
            <w:tcW w:w="274" w:type="pct"/>
            <w:shd w:val="clear" w:color="auto" w:fill="auto"/>
            <w:noWrap/>
            <w:vAlign w:val="center"/>
            <w:hideMark/>
          </w:tcPr>
          <w:p w14:paraId="23AC721C"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29A260BC"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5565C77D" w14:textId="77777777" w:rsidR="00F53AB2" w:rsidRPr="00E51207" w:rsidRDefault="00F53AB2" w:rsidP="003C3DAA">
            <w:pPr>
              <w:jc w:val="center"/>
              <w:rPr>
                <w:color w:val="000000"/>
                <w:sz w:val="16"/>
                <w:szCs w:val="16"/>
              </w:rPr>
            </w:pPr>
            <w:r w:rsidRPr="00E51207">
              <w:rPr>
                <w:color w:val="000000"/>
                <w:sz w:val="16"/>
                <w:szCs w:val="16"/>
              </w:rPr>
              <w:t>12/38</w:t>
            </w:r>
          </w:p>
        </w:tc>
        <w:tc>
          <w:tcPr>
            <w:tcW w:w="274" w:type="pct"/>
            <w:shd w:val="clear" w:color="auto" w:fill="F2F2F2" w:themeFill="background1" w:themeFillShade="F2"/>
            <w:noWrap/>
            <w:vAlign w:val="center"/>
            <w:hideMark/>
          </w:tcPr>
          <w:p w14:paraId="3CA2F348" w14:textId="77777777" w:rsidR="00F53AB2" w:rsidRPr="00E51207" w:rsidRDefault="00F53AB2" w:rsidP="003C3DAA">
            <w:pPr>
              <w:jc w:val="right"/>
              <w:rPr>
                <w:color w:val="000000"/>
                <w:sz w:val="16"/>
                <w:szCs w:val="16"/>
              </w:rPr>
            </w:pPr>
            <w:r w:rsidRPr="00E51207">
              <w:rPr>
                <w:color w:val="000000"/>
                <w:sz w:val="16"/>
                <w:szCs w:val="16"/>
              </w:rPr>
              <w:t>31,58%</w:t>
            </w:r>
          </w:p>
        </w:tc>
      </w:tr>
      <w:tr w:rsidR="00F53AB2" w:rsidRPr="00E51207" w14:paraId="0D2159EF" w14:textId="77777777" w:rsidTr="002263D5">
        <w:trPr>
          <w:trHeight w:val="290"/>
        </w:trPr>
        <w:tc>
          <w:tcPr>
            <w:tcW w:w="199" w:type="pct"/>
            <w:shd w:val="clear" w:color="auto" w:fill="auto"/>
            <w:noWrap/>
            <w:vAlign w:val="center"/>
            <w:hideMark/>
          </w:tcPr>
          <w:p w14:paraId="2AE2EF5B" w14:textId="77777777" w:rsidR="00F53AB2" w:rsidRPr="00E51207" w:rsidRDefault="00F53AB2" w:rsidP="003C3DAA">
            <w:pPr>
              <w:jc w:val="right"/>
              <w:rPr>
                <w:color w:val="000000"/>
                <w:sz w:val="16"/>
                <w:szCs w:val="16"/>
              </w:rPr>
            </w:pPr>
            <w:r w:rsidRPr="00E51207">
              <w:rPr>
                <w:color w:val="000000"/>
                <w:sz w:val="16"/>
                <w:szCs w:val="16"/>
              </w:rPr>
              <w:t>10.</w:t>
            </w:r>
          </w:p>
        </w:tc>
        <w:tc>
          <w:tcPr>
            <w:tcW w:w="2060" w:type="pct"/>
            <w:shd w:val="clear" w:color="auto" w:fill="auto"/>
            <w:noWrap/>
            <w:vAlign w:val="center"/>
            <w:hideMark/>
          </w:tcPr>
          <w:p w14:paraId="5F05305A" w14:textId="77777777" w:rsidR="00F53AB2" w:rsidRPr="00E51207" w:rsidRDefault="00F53AB2" w:rsidP="003C3DAA">
            <w:pPr>
              <w:rPr>
                <w:color w:val="000000"/>
                <w:sz w:val="16"/>
                <w:szCs w:val="16"/>
              </w:rPr>
            </w:pPr>
            <w:r w:rsidRPr="00E51207">
              <w:rPr>
                <w:color w:val="000000"/>
                <w:sz w:val="16"/>
                <w:szCs w:val="16"/>
              </w:rPr>
              <w:t>Državna regulatorna agencija za radijacijsku i nuklearnu sigurnost BiH</w:t>
            </w:r>
          </w:p>
        </w:tc>
        <w:tc>
          <w:tcPr>
            <w:tcW w:w="274" w:type="pct"/>
            <w:shd w:val="clear" w:color="auto" w:fill="F2F2F2" w:themeFill="background1" w:themeFillShade="F2"/>
            <w:noWrap/>
            <w:vAlign w:val="center"/>
            <w:hideMark/>
          </w:tcPr>
          <w:p w14:paraId="651CD2AC"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1DCAF27E"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0DC595BB" w14:textId="77777777" w:rsidR="00F53AB2" w:rsidRPr="00E51207" w:rsidRDefault="00F53AB2" w:rsidP="003C3DAA">
            <w:pPr>
              <w:jc w:val="center"/>
              <w:rPr>
                <w:color w:val="000000"/>
                <w:sz w:val="16"/>
                <w:szCs w:val="16"/>
              </w:rPr>
            </w:pPr>
            <w:r w:rsidRPr="00E51207">
              <w:rPr>
                <w:color w:val="000000"/>
                <w:sz w:val="16"/>
                <w:szCs w:val="16"/>
              </w:rPr>
              <w:t>14/38</w:t>
            </w:r>
          </w:p>
        </w:tc>
        <w:tc>
          <w:tcPr>
            <w:tcW w:w="274" w:type="pct"/>
            <w:shd w:val="clear" w:color="auto" w:fill="auto"/>
            <w:noWrap/>
            <w:vAlign w:val="center"/>
            <w:hideMark/>
          </w:tcPr>
          <w:p w14:paraId="700DE51F" w14:textId="77777777" w:rsidR="00F53AB2" w:rsidRPr="00E51207" w:rsidRDefault="00F53AB2" w:rsidP="003C3DAA">
            <w:pPr>
              <w:jc w:val="right"/>
              <w:rPr>
                <w:color w:val="000000"/>
                <w:sz w:val="16"/>
                <w:szCs w:val="16"/>
              </w:rPr>
            </w:pPr>
            <w:r w:rsidRPr="00E51207">
              <w:rPr>
                <w:color w:val="000000"/>
                <w:sz w:val="16"/>
                <w:szCs w:val="16"/>
              </w:rPr>
              <w:t>36,84%</w:t>
            </w:r>
          </w:p>
        </w:tc>
        <w:tc>
          <w:tcPr>
            <w:tcW w:w="274" w:type="pct"/>
            <w:shd w:val="clear" w:color="auto" w:fill="F2F2F2" w:themeFill="background1" w:themeFillShade="F2"/>
            <w:noWrap/>
            <w:vAlign w:val="center"/>
            <w:hideMark/>
          </w:tcPr>
          <w:p w14:paraId="601BCD52" w14:textId="77777777" w:rsidR="00F53AB2" w:rsidRPr="00E51207" w:rsidRDefault="00F53AB2" w:rsidP="003C3DAA">
            <w:pPr>
              <w:jc w:val="center"/>
              <w:rPr>
                <w:color w:val="000000"/>
                <w:sz w:val="16"/>
                <w:szCs w:val="16"/>
              </w:rPr>
            </w:pPr>
            <w:r w:rsidRPr="00E51207">
              <w:rPr>
                <w:color w:val="000000"/>
                <w:sz w:val="16"/>
                <w:szCs w:val="16"/>
              </w:rPr>
              <w:t>14/38</w:t>
            </w:r>
          </w:p>
        </w:tc>
        <w:tc>
          <w:tcPr>
            <w:tcW w:w="274" w:type="pct"/>
            <w:shd w:val="clear" w:color="auto" w:fill="F2F2F2" w:themeFill="background1" w:themeFillShade="F2"/>
            <w:noWrap/>
            <w:vAlign w:val="center"/>
            <w:hideMark/>
          </w:tcPr>
          <w:p w14:paraId="25A0B4C2" w14:textId="77777777" w:rsidR="00F53AB2" w:rsidRPr="00E51207" w:rsidRDefault="00F53AB2" w:rsidP="003C3DAA">
            <w:pPr>
              <w:jc w:val="right"/>
              <w:rPr>
                <w:color w:val="000000"/>
                <w:sz w:val="16"/>
                <w:szCs w:val="16"/>
              </w:rPr>
            </w:pPr>
            <w:r w:rsidRPr="00E51207">
              <w:rPr>
                <w:color w:val="000000"/>
                <w:sz w:val="16"/>
                <w:szCs w:val="16"/>
              </w:rPr>
              <w:t>36,84%</w:t>
            </w:r>
          </w:p>
        </w:tc>
        <w:tc>
          <w:tcPr>
            <w:tcW w:w="274" w:type="pct"/>
            <w:shd w:val="clear" w:color="auto" w:fill="auto"/>
            <w:noWrap/>
            <w:vAlign w:val="center"/>
            <w:hideMark/>
          </w:tcPr>
          <w:p w14:paraId="21433485" w14:textId="77777777" w:rsidR="00F53AB2" w:rsidRPr="00E51207" w:rsidRDefault="00F53AB2" w:rsidP="003C3DAA">
            <w:pPr>
              <w:jc w:val="center"/>
              <w:rPr>
                <w:color w:val="000000"/>
                <w:sz w:val="16"/>
                <w:szCs w:val="16"/>
              </w:rPr>
            </w:pPr>
            <w:r w:rsidRPr="00E51207">
              <w:rPr>
                <w:color w:val="000000"/>
                <w:sz w:val="16"/>
                <w:szCs w:val="16"/>
              </w:rPr>
              <w:t>14/38</w:t>
            </w:r>
          </w:p>
        </w:tc>
        <w:tc>
          <w:tcPr>
            <w:tcW w:w="274" w:type="pct"/>
            <w:shd w:val="clear" w:color="auto" w:fill="auto"/>
            <w:noWrap/>
            <w:vAlign w:val="center"/>
            <w:hideMark/>
          </w:tcPr>
          <w:p w14:paraId="2A429514" w14:textId="77777777" w:rsidR="00F53AB2" w:rsidRPr="00E51207" w:rsidRDefault="00F53AB2" w:rsidP="003C3DAA">
            <w:pPr>
              <w:jc w:val="right"/>
              <w:rPr>
                <w:color w:val="000000"/>
                <w:sz w:val="16"/>
                <w:szCs w:val="16"/>
              </w:rPr>
            </w:pPr>
            <w:r w:rsidRPr="00E51207">
              <w:rPr>
                <w:color w:val="000000"/>
                <w:sz w:val="16"/>
                <w:szCs w:val="16"/>
              </w:rPr>
              <w:t>36,84%</w:t>
            </w:r>
          </w:p>
        </w:tc>
        <w:tc>
          <w:tcPr>
            <w:tcW w:w="274" w:type="pct"/>
            <w:shd w:val="clear" w:color="auto" w:fill="F2F2F2" w:themeFill="background1" w:themeFillShade="F2"/>
            <w:noWrap/>
            <w:vAlign w:val="center"/>
            <w:hideMark/>
          </w:tcPr>
          <w:p w14:paraId="575DF409"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4A67D9F5" w14:textId="77777777" w:rsidR="00F53AB2" w:rsidRPr="00E51207" w:rsidRDefault="00F53AB2" w:rsidP="003C3DAA">
            <w:pPr>
              <w:jc w:val="right"/>
              <w:rPr>
                <w:color w:val="000000"/>
                <w:sz w:val="16"/>
                <w:szCs w:val="16"/>
              </w:rPr>
            </w:pPr>
            <w:r w:rsidRPr="00E51207">
              <w:rPr>
                <w:color w:val="000000"/>
                <w:sz w:val="16"/>
                <w:szCs w:val="16"/>
              </w:rPr>
              <w:t>/</w:t>
            </w:r>
          </w:p>
        </w:tc>
      </w:tr>
      <w:tr w:rsidR="00F53AB2" w:rsidRPr="00E51207" w14:paraId="0CBF7B04" w14:textId="77777777" w:rsidTr="002263D5">
        <w:trPr>
          <w:trHeight w:val="290"/>
        </w:trPr>
        <w:tc>
          <w:tcPr>
            <w:tcW w:w="199" w:type="pct"/>
            <w:shd w:val="clear" w:color="auto" w:fill="auto"/>
            <w:noWrap/>
            <w:vAlign w:val="center"/>
            <w:hideMark/>
          </w:tcPr>
          <w:p w14:paraId="5383D5B4" w14:textId="77777777" w:rsidR="00F53AB2" w:rsidRPr="00E51207" w:rsidRDefault="00F53AB2" w:rsidP="003C3DAA">
            <w:pPr>
              <w:jc w:val="right"/>
              <w:rPr>
                <w:color w:val="000000"/>
                <w:sz w:val="16"/>
                <w:szCs w:val="16"/>
              </w:rPr>
            </w:pPr>
            <w:r w:rsidRPr="00E51207">
              <w:rPr>
                <w:color w:val="000000"/>
                <w:sz w:val="16"/>
                <w:szCs w:val="16"/>
              </w:rPr>
              <w:t>11.</w:t>
            </w:r>
          </w:p>
        </w:tc>
        <w:tc>
          <w:tcPr>
            <w:tcW w:w="2060" w:type="pct"/>
            <w:shd w:val="clear" w:color="auto" w:fill="auto"/>
            <w:noWrap/>
            <w:vAlign w:val="center"/>
            <w:hideMark/>
          </w:tcPr>
          <w:p w14:paraId="03AA36DB" w14:textId="77777777" w:rsidR="00F53AB2" w:rsidRPr="00E51207" w:rsidRDefault="00F53AB2" w:rsidP="003C3DAA">
            <w:pPr>
              <w:rPr>
                <w:color w:val="000000"/>
                <w:sz w:val="16"/>
                <w:szCs w:val="16"/>
              </w:rPr>
            </w:pPr>
            <w:r w:rsidRPr="00E51207">
              <w:rPr>
                <w:color w:val="000000"/>
                <w:sz w:val="16"/>
                <w:szCs w:val="16"/>
              </w:rPr>
              <w:t>Granična policija BiH</w:t>
            </w:r>
          </w:p>
        </w:tc>
        <w:tc>
          <w:tcPr>
            <w:tcW w:w="274" w:type="pct"/>
            <w:shd w:val="clear" w:color="auto" w:fill="F2F2F2" w:themeFill="background1" w:themeFillShade="F2"/>
            <w:noWrap/>
            <w:vAlign w:val="center"/>
            <w:hideMark/>
          </w:tcPr>
          <w:p w14:paraId="34072895" w14:textId="77777777" w:rsidR="00F53AB2" w:rsidRPr="00E51207" w:rsidRDefault="00F53AB2" w:rsidP="003C3DAA">
            <w:pPr>
              <w:jc w:val="center"/>
              <w:rPr>
                <w:color w:val="000000"/>
                <w:sz w:val="16"/>
                <w:szCs w:val="16"/>
              </w:rPr>
            </w:pPr>
            <w:r w:rsidRPr="00E51207">
              <w:rPr>
                <w:color w:val="000000"/>
                <w:sz w:val="16"/>
                <w:szCs w:val="16"/>
              </w:rPr>
              <w:t>16/38</w:t>
            </w:r>
          </w:p>
        </w:tc>
        <w:tc>
          <w:tcPr>
            <w:tcW w:w="274" w:type="pct"/>
            <w:shd w:val="clear" w:color="auto" w:fill="F2F2F2" w:themeFill="background1" w:themeFillShade="F2"/>
            <w:noWrap/>
            <w:vAlign w:val="center"/>
            <w:hideMark/>
          </w:tcPr>
          <w:p w14:paraId="11AC9860" w14:textId="77777777" w:rsidR="00F53AB2" w:rsidRPr="00E51207" w:rsidRDefault="00F53AB2" w:rsidP="003C3DAA">
            <w:pPr>
              <w:jc w:val="right"/>
              <w:rPr>
                <w:color w:val="000000"/>
                <w:sz w:val="16"/>
                <w:szCs w:val="16"/>
              </w:rPr>
            </w:pPr>
            <w:r w:rsidRPr="00E51207">
              <w:rPr>
                <w:color w:val="000000"/>
                <w:sz w:val="16"/>
                <w:szCs w:val="16"/>
              </w:rPr>
              <w:t>42,11%</w:t>
            </w:r>
          </w:p>
        </w:tc>
        <w:tc>
          <w:tcPr>
            <w:tcW w:w="274" w:type="pct"/>
            <w:shd w:val="clear" w:color="auto" w:fill="auto"/>
            <w:noWrap/>
            <w:vAlign w:val="center"/>
            <w:hideMark/>
          </w:tcPr>
          <w:p w14:paraId="255E4FDA"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2E2A21C8"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215EC95A"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4C5F576A"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00A94F8F" w14:textId="77777777" w:rsidR="00F53AB2" w:rsidRPr="00E51207" w:rsidRDefault="00F53AB2" w:rsidP="003C3DAA">
            <w:pPr>
              <w:jc w:val="center"/>
              <w:rPr>
                <w:color w:val="000000"/>
                <w:sz w:val="16"/>
                <w:szCs w:val="16"/>
              </w:rPr>
            </w:pPr>
            <w:r w:rsidRPr="00E51207">
              <w:rPr>
                <w:color w:val="000000"/>
                <w:sz w:val="16"/>
                <w:szCs w:val="16"/>
              </w:rPr>
              <w:t>16/38</w:t>
            </w:r>
          </w:p>
        </w:tc>
        <w:tc>
          <w:tcPr>
            <w:tcW w:w="274" w:type="pct"/>
            <w:shd w:val="clear" w:color="auto" w:fill="auto"/>
            <w:noWrap/>
            <w:vAlign w:val="center"/>
            <w:hideMark/>
          </w:tcPr>
          <w:p w14:paraId="7A5DD073" w14:textId="77777777" w:rsidR="00F53AB2" w:rsidRPr="00E51207" w:rsidRDefault="00F53AB2" w:rsidP="003C3DAA">
            <w:pPr>
              <w:jc w:val="right"/>
              <w:rPr>
                <w:color w:val="000000"/>
                <w:sz w:val="16"/>
                <w:szCs w:val="16"/>
              </w:rPr>
            </w:pPr>
            <w:r w:rsidRPr="00E51207">
              <w:rPr>
                <w:color w:val="000000"/>
                <w:sz w:val="16"/>
                <w:szCs w:val="16"/>
              </w:rPr>
              <w:t>42,11%</w:t>
            </w:r>
          </w:p>
        </w:tc>
        <w:tc>
          <w:tcPr>
            <w:tcW w:w="274" w:type="pct"/>
            <w:shd w:val="clear" w:color="auto" w:fill="F2F2F2" w:themeFill="background1" w:themeFillShade="F2"/>
            <w:noWrap/>
            <w:vAlign w:val="center"/>
            <w:hideMark/>
          </w:tcPr>
          <w:p w14:paraId="7C12D21F" w14:textId="77777777" w:rsidR="00F53AB2" w:rsidRPr="00E51207" w:rsidRDefault="00F53AB2" w:rsidP="003C3DAA">
            <w:pPr>
              <w:jc w:val="center"/>
              <w:rPr>
                <w:color w:val="000000"/>
                <w:sz w:val="16"/>
                <w:szCs w:val="16"/>
              </w:rPr>
            </w:pPr>
            <w:r w:rsidRPr="00E51207">
              <w:rPr>
                <w:color w:val="000000"/>
                <w:sz w:val="16"/>
                <w:szCs w:val="16"/>
              </w:rPr>
              <w:t>16/38</w:t>
            </w:r>
          </w:p>
        </w:tc>
        <w:tc>
          <w:tcPr>
            <w:tcW w:w="274" w:type="pct"/>
            <w:shd w:val="clear" w:color="auto" w:fill="F2F2F2" w:themeFill="background1" w:themeFillShade="F2"/>
            <w:noWrap/>
            <w:vAlign w:val="center"/>
            <w:hideMark/>
          </w:tcPr>
          <w:p w14:paraId="7913EEDD" w14:textId="77777777" w:rsidR="00F53AB2" w:rsidRPr="00E51207" w:rsidRDefault="00F53AB2" w:rsidP="003C3DAA">
            <w:pPr>
              <w:jc w:val="right"/>
              <w:rPr>
                <w:color w:val="000000"/>
                <w:sz w:val="16"/>
                <w:szCs w:val="16"/>
              </w:rPr>
            </w:pPr>
            <w:r w:rsidRPr="00E51207">
              <w:rPr>
                <w:color w:val="000000"/>
                <w:sz w:val="16"/>
                <w:szCs w:val="16"/>
              </w:rPr>
              <w:t>42,11%</w:t>
            </w:r>
          </w:p>
        </w:tc>
      </w:tr>
      <w:tr w:rsidR="00F53AB2" w:rsidRPr="00E51207" w14:paraId="1C7E532F" w14:textId="77777777" w:rsidTr="002263D5">
        <w:trPr>
          <w:trHeight w:val="290"/>
        </w:trPr>
        <w:tc>
          <w:tcPr>
            <w:tcW w:w="199" w:type="pct"/>
            <w:shd w:val="clear" w:color="auto" w:fill="auto"/>
            <w:noWrap/>
            <w:vAlign w:val="center"/>
            <w:hideMark/>
          </w:tcPr>
          <w:p w14:paraId="28DEFD21" w14:textId="77777777" w:rsidR="00F53AB2" w:rsidRPr="00E51207" w:rsidRDefault="00F53AB2" w:rsidP="003C3DAA">
            <w:pPr>
              <w:jc w:val="right"/>
              <w:rPr>
                <w:color w:val="000000"/>
                <w:sz w:val="16"/>
                <w:szCs w:val="16"/>
              </w:rPr>
            </w:pPr>
            <w:r w:rsidRPr="00E51207">
              <w:rPr>
                <w:color w:val="000000"/>
                <w:sz w:val="16"/>
                <w:szCs w:val="16"/>
              </w:rPr>
              <w:t>12.</w:t>
            </w:r>
          </w:p>
        </w:tc>
        <w:tc>
          <w:tcPr>
            <w:tcW w:w="2060" w:type="pct"/>
            <w:shd w:val="clear" w:color="auto" w:fill="auto"/>
            <w:noWrap/>
            <w:vAlign w:val="center"/>
            <w:hideMark/>
          </w:tcPr>
          <w:p w14:paraId="0DA1A911" w14:textId="77777777" w:rsidR="00F53AB2" w:rsidRPr="00E51207" w:rsidRDefault="00F53AB2" w:rsidP="003C3DAA">
            <w:pPr>
              <w:rPr>
                <w:color w:val="000000"/>
                <w:sz w:val="16"/>
                <w:szCs w:val="16"/>
              </w:rPr>
            </w:pPr>
            <w:r w:rsidRPr="00E51207">
              <w:rPr>
                <w:color w:val="000000"/>
                <w:sz w:val="16"/>
                <w:szCs w:val="16"/>
              </w:rPr>
              <w:t>Služba za zajedničke poslove institucija BiH</w:t>
            </w:r>
          </w:p>
        </w:tc>
        <w:tc>
          <w:tcPr>
            <w:tcW w:w="274" w:type="pct"/>
            <w:shd w:val="clear" w:color="auto" w:fill="F2F2F2" w:themeFill="background1" w:themeFillShade="F2"/>
            <w:noWrap/>
            <w:vAlign w:val="center"/>
            <w:hideMark/>
          </w:tcPr>
          <w:p w14:paraId="0DDFAEFF"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59491A7E"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648A33E8" w14:textId="77777777" w:rsidR="00F53AB2" w:rsidRPr="00E51207" w:rsidRDefault="00F53AB2" w:rsidP="003C3DAA">
            <w:pPr>
              <w:jc w:val="center"/>
              <w:rPr>
                <w:color w:val="000000"/>
                <w:sz w:val="16"/>
                <w:szCs w:val="16"/>
              </w:rPr>
            </w:pPr>
            <w:r w:rsidRPr="00E51207">
              <w:rPr>
                <w:color w:val="000000"/>
                <w:sz w:val="16"/>
                <w:szCs w:val="16"/>
              </w:rPr>
              <w:t>11/38</w:t>
            </w:r>
          </w:p>
        </w:tc>
        <w:tc>
          <w:tcPr>
            <w:tcW w:w="274" w:type="pct"/>
            <w:shd w:val="clear" w:color="auto" w:fill="auto"/>
            <w:noWrap/>
            <w:vAlign w:val="center"/>
            <w:hideMark/>
          </w:tcPr>
          <w:p w14:paraId="24F626D8" w14:textId="77777777" w:rsidR="00F53AB2" w:rsidRPr="00E51207" w:rsidRDefault="00F53AB2" w:rsidP="003C3DAA">
            <w:pPr>
              <w:jc w:val="right"/>
              <w:rPr>
                <w:color w:val="000000"/>
                <w:sz w:val="16"/>
                <w:szCs w:val="16"/>
              </w:rPr>
            </w:pPr>
            <w:r w:rsidRPr="00E51207">
              <w:rPr>
                <w:color w:val="000000"/>
                <w:sz w:val="16"/>
                <w:szCs w:val="16"/>
              </w:rPr>
              <w:t>28,95%</w:t>
            </w:r>
          </w:p>
        </w:tc>
        <w:tc>
          <w:tcPr>
            <w:tcW w:w="274" w:type="pct"/>
            <w:shd w:val="clear" w:color="auto" w:fill="F2F2F2" w:themeFill="background1" w:themeFillShade="F2"/>
            <w:noWrap/>
            <w:vAlign w:val="center"/>
            <w:hideMark/>
          </w:tcPr>
          <w:p w14:paraId="123D04F6" w14:textId="77777777" w:rsidR="00F53AB2" w:rsidRPr="00E51207" w:rsidRDefault="00F53AB2" w:rsidP="003C3DAA">
            <w:pPr>
              <w:jc w:val="center"/>
              <w:rPr>
                <w:color w:val="000000"/>
                <w:sz w:val="16"/>
                <w:szCs w:val="16"/>
              </w:rPr>
            </w:pPr>
            <w:r w:rsidRPr="00E51207">
              <w:rPr>
                <w:color w:val="000000"/>
                <w:sz w:val="16"/>
                <w:szCs w:val="16"/>
              </w:rPr>
              <w:t>12/38</w:t>
            </w:r>
          </w:p>
        </w:tc>
        <w:tc>
          <w:tcPr>
            <w:tcW w:w="274" w:type="pct"/>
            <w:shd w:val="clear" w:color="auto" w:fill="F2F2F2" w:themeFill="background1" w:themeFillShade="F2"/>
            <w:noWrap/>
            <w:vAlign w:val="center"/>
            <w:hideMark/>
          </w:tcPr>
          <w:p w14:paraId="49F418B3" w14:textId="77777777" w:rsidR="00F53AB2" w:rsidRPr="00E51207" w:rsidRDefault="00F53AB2" w:rsidP="003C3DAA">
            <w:pPr>
              <w:jc w:val="right"/>
              <w:rPr>
                <w:color w:val="000000"/>
                <w:sz w:val="16"/>
                <w:szCs w:val="16"/>
              </w:rPr>
            </w:pPr>
            <w:r w:rsidRPr="00E51207">
              <w:rPr>
                <w:color w:val="000000"/>
                <w:sz w:val="16"/>
                <w:szCs w:val="16"/>
              </w:rPr>
              <w:t>31,58%</w:t>
            </w:r>
          </w:p>
        </w:tc>
        <w:tc>
          <w:tcPr>
            <w:tcW w:w="274" w:type="pct"/>
            <w:shd w:val="clear" w:color="auto" w:fill="auto"/>
            <w:noWrap/>
            <w:vAlign w:val="center"/>
            <w:hideMark/>
          </w:tcPr>
          <w:p w14:paraId="346461DF" w14:textId="77777777" w:rsidR="00F53AB2" w:rsidRPr="00E51207" w:rsidRDefault="00F53AB2" w:rsidP="003C3DAA">
            <w:pPr>
              <w:jc w:val="center"/>
              <w:rPr>
                <w:color w:val="000000"/>
                <w:sz w:val="16"/>
                <w:szCs w:val="16"/>
              </w:rPr>
            </w:pPr>
            <w:r w:rsidRPr="00E51207">
              <w:rPr>
                <w:color w:val="000000"/>
                <w:sz w:val="16"/>
                <w:szCs w:val="16"/>
              </w:rPr>
              <w:t>9/38</w:t>
            </w:r>
          </w:p>
        </w:tc>
        <w:tc>
          <w:tcPr>
            <w:tcW w:w="274" w:type="pct"/>
            <w:shd w:val="clear" w:color="auto" w:fill="auto"/>
            <w:noWrap/>
            <w:vAlign w:val="center"/>
            <w:hideMark/>
          </w:tcPr>
          <w:p w14:paraId="0A0B6F7F" w14:textId="77777777" w:rsidR="00F53AB2" w:rsidRPr="00E51207" w:rsidRDefault="00F53AB2" w:rsidP="003C3DAA">
            <w:pPr>
              <w:jc w:val="right"/>
              <w:rPr>
                <w:color w:val="000000"/>
                <w:sz w:val="16"/>
                <w:szCs w:val="16"/>
              </w:rPr>
            </w:pPr>
            <w:r w:rsidRPr="00E51207">
              <w:rPr>
                <w:color w:val="000000"/>
                <w:sz w:val="16"/>
                <w:szCs w:val="16"/>
              </w:rPr>
              <w:t>23,68%</w:t>
            </w:r>
          </w:p>
        </w:tc>
        <w:tc>
          <w:tcPr>
            <w:tcW w:w="274" w:type="pct"/>
            <w:shd w:val="clear" w:color="auto" w:fill="F2F2F2" w:themeFill="background1" w:themeFillShade="F2"/>
            <w:noWrap/>
            <w:vAlign w:val="center"/>
            <w:hideMark/>
          </w:tcPr>
          <w:p w14:paraId="73C1198D" w14:textId="77777777" w:rsidR="00F53AB2" w:rsidRPr="00E51207" w:rsidRDefault="00F53AB2" w:rsidP="003C3DAA">
            <w:pPr>
              <w:jc w:val="center"/>
              <w:rPr>
                <w:color w:val="000000"/>
                <w:sz w:val="16"/>
                <w:szCs w:val="16"/>
              </w:rPr>
            </w:pPr>
            <w:r w:rsidRPr="00E51207">
              <w:rPr>
                <w:color w:val="000000"/>
                <w:sz w:val="16"/>
                <w:szCs w:val="16"/>
              </w:rPr>
              <w:t>17/38</w:t>
            </w:r>
          </w:p>
        </w:tc>
        <w:tc>
          <w:tcPr>
            <w:tcW w:w="274" w:type="pct"/>
            <w:shd w:val="clear" w:color="auto" w:fill="F2F2F2" w:themeFill="background1" w:themeFillShade="F2"/>
            <w:noWrap/>
            <w:vAlign w:val="center"/>
            <w:hideMark/>
          </w:tcPr>
          <w:p w14:paraId="51FE1BD3" w14:textId="77777777" w:rsidR="00F53AB2" w:rsidRPr="00E51207" w:rsidRDefault="00F53AB2" w:rsidP="003C3DAA">
            <w:pPr>
              <w:jc w:val="right"/>
              <w:rPr>
                <w:color w:val="000000"/>
                <w:sz w:val="16"/>
                <w:szCs w:val="16"/>
              </w:rPr>
            </w:pPr>
            <w:r w:rsidRPr="00E51207">
              <w:rPr>
                <w:color w:val="000000"/>
                <w:sz w:val="16"/>
                <w:szCs w:val="16"/>
              </w:rPr>
              <w:t>44,74%</w:t>
            </w:r>
          </w:p>
        </w:tc>
      </w:tr>
      <w:tr w:rsidR="00F53AB2" w:rsidRPr="00E51207" w14:paraId="4E8CE252" w14:textId="77777777" w:rsidTr="002263D5">
        <w:trPr>
          <w:trHeight w:val="290"/>
        </w:trPr>
        <w:tc>
          <w:tcPr>
            <w:tcW w:w="199" w:type="pct"/>
            <w:shd w:val="clear" w:color="auto" w:fill="auto"/>
            <w:noWrap/>
            <w:vAlign w:val="center"/>
            <w:hideMark/>
          </w:tcPr>
          <w:p w14:paraId="3549EA45" w14:textId="77777777" w:rsidR="00F53AB2" w:rsidRPr="00E51207" w:rsidRDefault="00F53AB2" w:rsidP="003C3DAA">
            <w:pPr>
              <w:jc w:val="right"/>
              <w:rPr>
                <w:color w:val="000000"/>
                <w:sz w:val="16"/>
                <w:szCs w:val="16"/>
              </w:rPr>
            </w:pPr>
            <w:r w:rsidRPr="00E51207">
              <w:rPr>
                <w:color w:val="000000"/>
                <w:sz w:val="16"/>
                <w:szCs w:val="16"/>
              </w:rPr>
              <w:t>13.</w:t>
            </w:r>
          </w:p>
        </w:tc>
        <w:tc>
          <w:tcPr>
            <w:tcW w:w="2060" w:type="pct"/>
            <w:shd w:val="clear" w:color="auto" w:fill="auto"/>
            <w:noWrap/>
            <w:vAlign w:val="center"/>
            <w:hideMark/>
          </w:tcPr>
          <w:p w14:paraId="6FAD3BBF" w14:textId="77777777" w:rsidR="00F53AB2" w:rsidRPr="00E51207" w:rsidRDefault="00F53AB2" w:rsidP="003C3DAA">
            <w:pPr>
              <w:rPr>
                <w:color w:val="000000"/>
                <w:sz w:val="16"/>
                <w:szCs w:val="16"/>
              </w:rPr>
            </w:pPr>
            <w:r w:rsidRPr="00E51207">
              <w:rPr>
                <w:color w:val="000000"/>
                <w:sz w:val="16"/>
                <w:szCs w:val="16"/>
              </w:rPr>
              <w:t>Agencija za forenzička ispitivanja i vještačenja BiH</w:t>
            </w:r>
          </w:p>
        </w:tc>
        <w:tc>
          <w:tcPr>
            <w:tcW w:w="274" w:type="pct"/>
            <w:shd w:val="clear" w:color="auto" w:fill="F2F2F2" w:themeFill="background1" w:themeFillShade="F2"/>
            <w:noWrap/>
            <w:vAlign w:val="center"/>
            <w:hideMark/>
          </w:tcPr>
          <w:p w14:paraId="63D9F0B1" w14:textId="77777777" w:rsidR="00F53AB2" w:rsidRPr="00E51207" w:rsidRDefault="00F53AB2" w:rsidP="003C3DAA">
            <w:pPr>
              <w:jc w:val="center"/>
              <w:rPr>
                <w:color w:val="000000"/>
                <w:sz w:val="16"/>
                <w:szCs w:val="16"/>
              </w:rPr>
            </w:pPr>
            <w:r w:rsidRPr="00E51207">
              <w:rPr>
                <w:color w:val="000000"/>
                <w:sz w:val="16"/>
                <w:szCs w:val="16"/>
              </w:rPr>
              <w:t>16/38</w:t>
            </w:r>
          </w:p>
        </w:tc>
        <w:tc>
          <w:tcPr>
            <w:tcW w:w="274" w:type="pct"/>
            <w:shd w:val="clear" w:color="auto" w:fill="F2F2F2" w:themeFill="background1" w:themeFillShade="F2"/>
            <w:noWrap/>
            <w:vAlign w:val="center"/>
            <w:hideMark/>
          </w:tcPr>
          <w:p w14:paraId="3AF39C21" w14:textId="77777777" w:rsidR="00F53AB2" w:rsidRPr="00E51207" w:rsidRDefault="00F53AB2" w:rsidP="003C3DAA">
            <w:pPr>
              <w:jc w:val="right"/>
              <w:rPr>
                <w:color w:val="000000"/>
                <w:sz w:val="16"/>
                <w:szCs w:val="16"/>
              </w:rPr>
            </w:pPr>
            <w:r w:rsidRPr="00E51207">
              <w:rPr>
                <w:color w:val="000000"/>
                <w:sz w:val="16"/>
                <w:szCs w:val="16"/>
              </w:rPr>
              <w:t>42,11%</w:t>
            </w:r>
          </w:p>
        </w:tc>
        <w:tc>
          <w:tcPr>
            <w:tcW w:w="274" w:type="pct"/>
            <w:shd w:val="clear" w:color="auto" w:fill="auto"/>
            <w:noWrap/>
            <w:vAlign w:val="center"/>
            <w:hideMark/>
          </w:tcPr>
          <w:p w14:paraId="2EB9720F" w14:textId="77777777" w:rsidR="00F53AB2" w:rsidRPr="00E51207" w:rsidRDefault="00F53AB2" w:rsidP="003C3DAA">
            <w:pPr>
              <w:jc w:val="center"/>
              <w:rPr>
                <w:color w:val="000000"/>
                <w:sz w:val="16"/>
                <w:szCs w:val="16"/>
              </w:rPr>
            </w:pPr>
            <w:r w:rsidRPr="00E51207">
              <w:rPr>
                <w:color w:val="000000"/>
                <w:sz w:val="16"/>
                <w:szCs w:val="16"/>
              </w:rPr>
              <w:t>17/38</w:t>
            </w:r>
          </w:p>
        </w:tc>
        <w:tc>
          <w:tcPr>
            <w:tcW w:w="274" w:type="pct"/>
            <w:shd w:val="clear" w:color="auto" w:fill="auto"/>
            <w:noWrap/>
            <w:vAlign w:val="center"/>
            <w:hideMark/>
          </w:tcPr>
          <w:p w14:paraId="1B597BA6" w14:textId="77777777" w:rsidR="00F53AB2" w:rsidRPr="00E51207" w:rsidRDefault="00F53AB2" w:rsidP="003C3DAA">
            <w:pPr>
              <w:jc w:val="right"/>
              <w:rPr>
                <w:color w:val="000000"/>
                <w:sz w:val="16"/>
                <w:szCs w:val="16"/>
              </w:rPr>
            </w:pPr>
            <w:r w:rsidRPr="00E51207">
              <w:rPr>
                <w:color w:val="000000"/>
                <w:sz w:val="16"/>
                <w:szCs w:val="16"/>
              </w:rPr>
              <w:t>44,74%</w:t>
            </w:r>
          </w:p>
        </w:tc>
        <w:tc>
          <w:tcPr>
            <w:tcW w:w="274" w:type="pct"/>
            <w:shd w:val="clear" w:color="auto" w:fill="F2F2F2" w:themeFill="background1" w:themeFillShade="F2"/>
            <w:noWrap/>
            <w:vAlign w:val="center"/>
            <w:hideMark/>
          </w:tcPr>
          <w:p w14:paraId="52E94CBF" w14:textId="77777777" w:rsidR="00F53AB2" w:rsidRPr="00E51207" w:rsidRDefault="00F53AB2" w:rsidP="003C3DAA">
            <w:pPr>
              <w:jc w:val="center"/>
              <w:rPr>
                <w:color w:val="000000"/>
                <w:sz w:val="16"/>
                <w:szCs w:val="16"/>
              </w:rPr>
            </w:pPr>
            <w:r w:rsidRPr="00E51207">
              <w:rPr>
                <w:color w:val="000000"/>
                <w:sz w:val="16"/>
                <w:szCs w:val="16"/>
              </w:rPr>
              <w:t>19/38</w:t>
            </w:r>
          </w:p>
        </w:tc>
        <w:tc>
          <w:tcPr>
            <w:tcW w:w="274" w:type="pct"/>
            <w:shd w:val="clear" w:color="auto" w:fill="F2F2F2" w:themeFill="background1" w:themeFillShade="F2"/>
            <w:noWrap/>
            <w:vAlign w:val="center"/>
            <w:hideMark/>
          </w:tcPr>
          <w:p w14:paraId="5B321320" w14:textId="77777777" w:rsidR="00F53AB2" w:rsidRPr="00E51207" w:rsidRDefault="00F53AB2" w:rsidP="003C3DAA">
            <w:pPr>
              <w:jc w:val="right"/>
              <w:rPr>
                <w:color w:val="000000"/>
                <w:sz w:val="16"/>
                <w:szCs w:val="16"/>
              </w:rPr>
            </w:pPr>
            <w:r w:rsidRPr="00E51207">
              <w:rPr>
                <w:color w:val="000000"/>
                <w:sz w:val="16"/>
                <w:szCs w:val="16"/>
              </w:rPr>
              <w:t>50</w:t>
            </w:r>
            <w:r>
              <w:rPr>
                <w:color w:val="000000"/>
                <w:sz w:val="16"/>
                <w:szCs w:val="16"/>
              </w:rPr>
              <w:t>,00</w:t>
            </w:r>
            <w:r w:rsidRPr="00E51207">
              <w:rPr>
                <w:color w:val="000000"/>
                <w:sz w:val="16"/>
                <w:szCs w:val="16"/>
              </w:rPr>
              <w:t>%</w:t>
            </w:r>
          </w:p>
        </w:tc>
        <w:tc>
          <w:tcPr>
            <w:tcW w:w="274" w:type="pct"/>
            <w:shd w:val="clear" w:color="auto" w:fill="auto"/>
            <w:noWrap/>
            <w:vAlign w:val="center"/>
            <w:hideMark/>
          </w:tcPr>
          <w:p w14:paraId="2B14A75D" w14:textId="77777777" w:rsidR="00F53AB2" w:rsidRPr="00E51207" w:rsidRDefault="00F53AB2" w:rsidP="003C3DAA">
            <w:pPr>
              <w:jc w:val="center"/>
              <w:rPr>
                <w:color w:val="000000"/>
                <w:sz w:val="16"/>
                <w:szCs w:val="16"/>
              </w:rPr>
            </w:pPr>
            <w:r w:rsidRPr="00E51207">
              <w:rPr>
                <w:color w:val="000000"/>
                <w:sz w:val="16"/>
                <w:szCs w:val="16"/>
              </w:rPr>
              <w:t>16/38</w:t>
            </w:r>
          </w:p>
        </w:tc>
        <w:tc>
          <w:tcPr>
            <w:tcW w:w="274" w:type="pct"/>
            <w:shd w:val="clear" w:color="auto" w:fill="auto"/>
            <w:noWrap/>
            <w:vAlign w:val="center"/>
            <w:hideMark/>
          </w:tcPr>
          <w:p w14:paraId="52657479" w14:textId="77777777" w:rsidR="00F53AB2" w:rsidRPr="00E51207" w:rsidRDefault="00F53AB2" w:rsidP="003C3DAA">
            <w:pPr>
              <w:jc w:val="right"/>
              <w:rPr>
                <w:color w:val="000000"/>
                <w:sz w:val="16"/>
                <w:szCs w:val="16"/>
              </w:rPr>
            </w:pPr>
            <w:r w:rsidRPr="00E51207">
              <w:rPr>
                <w:color w:val="000000"/>
                <w:sz w:val="16"/>
                <w:szCs w:val="16"/>
              </w:rPr>
              <w:t>42,11%</w:t>
            </w:r>
          </w:p>
        </w:tc>
        <w:tc>
          <w:tcPr>
            <w:tcW w:w="274" w:type="pct"/>
            <w:shd w:val="clear" w:color="auto" w:fill="F2F2F2" w:themeFill="background1" w:themeFillShade="F2"/>
            <w:noWrap/>
            <w:vAlign w:val="center"/>
            <w:hideMark/>
          </w:tcPr>
          <w:p w14:paraId="1932300F" w14:textId="77777777" w:rsidR="00F53AB2" w:rsidRPr="00E51207" w:rsidRDefault="00F53AB2" w:rsidP="003C3DAA">
            <w:pPr>
              <w:jc w:val="center"/>
              <w:rPr>
                <w:color w:val="000000"/>
                <w:sz w:val="16"/>
                <w:szCs w:val="16"/>
              </w:rPr>
            </w:pPr>
            <w:r w:rsidRPr="00E51207">
              <w:rPr>
                <w:color w:val="000000"/>
                <w:sz w:val="16"/>
                <w:szCs w:val="16"/>
              </w:rPr>
              <w:t>19/38</w:t>
            </w:r>
          </w:p>
        </w:tc>
        <w:tc>
          <w:tcPr>
            <w:tcW w:w="274" w:type="pct"/>
            <w:shd w:val="clear" w:color="auto" w:fill="F2F2F2" w:themeFill="background1" w:themeFillShade="F2"/>
            <w:noWrap/>
            <w:vAlign w:val="center"/>
            <w:hideMark/>
          </w:tcPr>
          <w:p w14:paraId="356A6AB8" w14:textId="77777777" w:rsidR="00F53AB2" w:rsidRPr="00E51207" w:rsidRDefault="00F53AB2" w:rsidP="003C3DAA">
            <w:pPr>
              <w:jc w:val="right"/>
              <w:rPr>
                <w:color w:val="000000"/>
                <w:sz w:val="16"/>
                <w:szCs w:val="16"/>
              </w:rPr>
            </w:pPr>
            <w:r w:rsidRPr="00E51207">
              <w:rPr>
                <w:color w:val="000000"/>
                <w:sz w:val="16"/>
                <w:szCs w:val="16"/>
              </w:rPr>
              <w:t>50</w:t>
            </w:r>
            <w:r>
              <w:rPr>
                <w:color w:val="000000"/>
                <w:sz w:val="16"/>
                <w:szCs w:val="16"/>
              </w:rPr>
              <w:t>,00</w:t>
            </w:r>
            <w:r w:rsidRPr="00E51207">
              <w:rPr>
                <w:color w:val="000000"/>
                <w:sz w:val="16"/>
                <w:szCs w:val="16"/>
              </w:rPr>
              <w:t>%</w:t>
            </w:r>
          </w:p>
        </w:tc>
      </w:tr>
      <w:tr w:rsidR="00F53AB2" w:rsidRPr="00E51207" w14:paraId="15B5337A" w14:textId="77777777" w:rsidTr="002263D5">
        <w:trPr>
          <w:trHeight w:val="290"/>
        </w:trPr>
        <w:tc>
          <w:tcPr>
            <w:tcW w:w="199" w:type="pct"/>
            <w:shd w:val="clear" w:color="auto" w:fill="auto"/>
            <w:noWrap/>
            <w:vAlign w:val="center"/>
            <w:hideMark/>
          </w:tcPr>
          <w:p w14:paraId="0DD33697" w14:textId="77777777" w:rsidR="00F53AB2" w:rsidRPr="00E51207" w:rsidRDefault="00F53AB2" w:rsidP="003C3DAA">
            <w:pPr>
              <w:jc w:val="right"/>
              <w:rPr>
                <w:color w:val="000000"/>
                <w:sz w:val="16"/>
                <w:szCs w:val="16"/>
              </w:rPr>
            </w:pPr>
            <w:r w:rsidRPr="00E51207">
              <w:rPr>
                <w:color w:val="000000"/>
                <w:sz w:val="16"/>
                <w:szCs w:val="16"/>
              </w:rPr>
              <w:t>14.</w:t>
            </w:r>
          </w:p>
        </w:tc>
        <w:tc>
          <w:tcPr>
            <w:tcW w:w="2060" w:type="pct"/>
            <w:shd w:val="clear" w:color="auto" w:fill="auto"/>
            <w:noWrap/>
            <w:vAlign w:val="center"/>
            <w:hideMark/>
          </w:tcPr>
          <w:p w14:paraId="7AE1E750" w14:textId="77777777" w:rsidR="00F53AB2" w:rsidRPr="00E51207" w:rsidRDefault="00F53AB2" w:rsidP="003C3DAA">
            <w:pPr>
              <w:rPr>
                <w:color w:val="000000"/>
                <w:sz w:val="16"/>
                <w:szCs w:val="16"/>
              </w:rPr>
            </w:pPr>
            <w:r w:rsidRPr="00E51207">
              <w:rPr>
                <w:color w:val="000000"/>
                <w:sz w:val="16"/>
                <w:szCs w:val="16"/>
              </w:rPr>
              <w:t>Ministarstvo vanjskih poslova BiH</w:t>
            </w:r>
          </w:p>
        </w:tc>
        <w:tc>
          <w:tcPr>
            <w:tcW w:w="274" w:type="pct"/>
            <w:shd w:val="clear" w:color="auto" w:fill="F2F2F2" w:themeFill="background1" w:themeFillShade="F2"/>
            <w:noWrap/>
            <w:vAlign w:val="center"/>
            <w:hideMark/>
          </w:tcPr>
          <w:p w14:paraId="4773EB90"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4520C4C2"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15293154"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685617BD"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49D99EA7" w14:textId="77777777" w:rsidR="00F53AB2" w:rsidRPr="00E51207" w:rsidRDefault="00F53AB2" w:rsidP="003C3DAA">
            <w:pPr>
              <w:jc w:val="center"/>
              <w:rPr>
                <w:color w:val="000000"/>
                <w:sz w:val="16"/>
                <w:szCs w:val="16"/>
              </w:rPr>
            </w:pPr>
            <w:r w:rsidRPr="00E51207">
              <w:rPr>
                <w:color w:val="000000"/>
                <w:sz w:val="16"/>
                <w:szCs w:val="16"/>
              </w:rPr>
              <w:t>19/38</w:t>
            </w:r>
          </w:p>
        </w:tc>
        <w:tc>
          <w:tcPr>
            <w:tcW w:w="274" w:type="pct"/>
            <w:shd w:val="clear" w:color="auto" w:fill="F2F2F2" w:themeFill="background1" w:themeFillShade="F2"/>
            <w:noWrap/>
            <w:vAlign w:val="center"/>
            <w:hideMark/>
          </w:tcPr>
          <w:p w14:paraId="3CA84336" w14:textId="77777777" w:rsidR="00F53AB2" w:rsidRPr="00E51207" w:rsidRDefault="00F53AB2" w:rsidP="003C3DAA">
            <w:pPr>
              <w:jc w:val="right"/>
              <w:rPr>
                <w:color w:val="000000"/>
                <w:sz w:val="16"/>
                <w:szCs w:val="16"/>
              </w:rPr>
            </w:pPr>
            <w:r w:rsidRPr="00E51207">
              <w:rPr>
                <w:color w:val="000000"/>
                <w:sz w:val="16"/>
                <w:szCs w:val="16"/>
              </w:rPr>
              <w:t>50</w:t>
            </w:r>
            <w:r>
              <w:rPr>
                <w:color w:val="000000"/>
                <w:sz w:val="16"/>
                <w:szCs w:val="16"/>
              </w:rPr>
              <w:t>,00</w:t>
            </w:r>
            <w:r w:rsidRPr="00E51207">
              <w:rPr>
                <w:color w:val="000000"/>
                <w:sz w:val="16"/>
                <w:szCs w:val="16"/>
              </w:rPr>
              <w:t>%</w:t>
            </w:r>
          </w:p>
        </w:tc>
        <w:tc>
          <w:tcPr>
            <w:tcW w:w="274" w:type="pct"/>
            <w:shd w:val="clear" w:color="auto" w:fill="auto"/>
            <w:noWrap/>
            <w:vAlign w:val="center"/>
            <w:hideMark/>
          </w:tcPr>
          <w:p w14:paraId="1E274097"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62E5AFC1"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20946338"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77AF2897" w14:textId="77777777" w:rsidR="00F53AB2" w:rsidRPr="00E51207" w:rsidRDefault="00F53AB2" w:rsidP="003C3DAA">
            <w:pPr>
              <w:jc w:val="right"/>
              <w:rPr>
                <w:color w:val="000000"/>
                <w:sz w:val="16"/>
                <w:szCs w:val="16"/>
              </w:rPr>
            </w:pPr>
            <w:r w:rsidRPr="00E51207">
              <w:rPr>
                <w:color w:val="000000"/>
                <w:sz w:val="16"/>
                <w:szCs w:val="16"/>
              </w:rPr>
              <w:t>/</w:t>
            </w:r>
          </w:p>
        </w:tc>
      </w:tr>
      <w:tr w:rsidR="00F53AB2" w:rsidRPr="00E51207" w14:paraId="59EB19F0" w14:textId="77777777" w:rsidTr="002263D5">
        <w:trPr>
          <w:trHeight w:val="290"/>
        </w:trPr>
        <w:tc>
          <w:tcPr>
            <w:tcW w:w="199" w:type="pct"/>
            <w:shd w:val="clear" w:color="auto" w:fill="auto"/>
            <w:noWrap/>
            <w:vAlign w:val="center"/>
            <w:hideMark/>
          </w:tcPr>
          <w:p w14:paraId="6384844B" w14:textId="77777777" w:rsidR="00F53AB2" w:rsidRPr="00E51207" w:rsidRDefault="00F53AB2" w:rsidP="003C3DAA">
            <w:pPr>
              <w:jc w:val="right"/>
              <w:rPr>
                <w:color w:val="000000"/>
                <w:sz w:val="16"/>
                <w:szCs w:val="16"/>
              </w:rPr>
            </w:pPr>
            <w:r w:rsidRPr="00E51207">
              <w:rPr>
                <w:color w:val="000000"/>
                <w:sz w:val="16"/>
                <w:szCs w:val="16"/>
              </w:rPr>
              <w:t>15.</w:t>
            </w:r>
          </w:p>
        </w:tc>
        <w:tc>
          <w:tcPr>
            <w:tcW w:w="2060" w:type="pct"/>
            <w:shd w:val="clear" w:color="auto" w:fill="auto"/>
            <w:noWrap/>
            <w:vAlign w:val="center"/>
            <w:hideMark/>
          </w:tcPr>
          <w:p w14:paraId="6DD41B31" w14:textId="77777777" w:rsidR="00F53AB2" w:rsidRPr="00E51207" w:rsidRDefault="00F53AB2" w:rsidP="003C3DAA">
            <w:pPr>
              <w:rPr>
                <w:color w:val="000000"/>
                <w:sz w:val="16"/>
                <w:szCs w:val="16"/>
              </w:rPr>
            </w:pPr>
            <w:r w:rsidRPr="00E51207">
              <w:rPr>
                <w:color w:val="000000"/>
                <w:sz w:val="16"/>
                <w:szCs w:val="16"/>
              </w:rPr>
              <w:t>Pravobranilaštvo BiH</w:t>
            </w:r>
          </w:p>
        </w:tc>
        <w:tc>
          <w:tcPr>
            <w:tcW w:w="274" w:type="pct"/>
            <w:shd w:val="clear" w:color="auto" w:fill="F2F2F2" w:themeFill="background1" w:themeFillShade="F2"/>
            <w:noWrap/>
            <w:vAlign w:val="center"/>
            <w:hideMark/>
          </w:tcPr>
          <w:p w14:paraId="7D2420DB"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6E0D6DB6"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1436DE93" w14:textId="77777777" w:rsidR="00F53AB2" w:rsidRPr="00E51207" w:rsidRDefault="00F53AB2" w:rsidP="003C3DAA">
            <w:pPr>
              <w:jc w:val="center"/>
              <w:rPr>
                <w:color w:val="000000"/>
                <w:sz w:val="16"/>
                <w:szCs w:val="16"/>
              </w:rPr>
            </w:pPr>
            <w:r w:rsidRPr="00E51207">
              <w:rPr>
                <w:color w:val="000000"/>
                <w:sz w:val="16"/>
                <w:szCs w:val="16"/>
              </w:rPr>
              <w:t>9/38</w:t>
            </w:r>
          </w:p>
        </w:tc>
        <w:tc>
          <w:tcPr>
            <w:tcW w:w="274" w:type="pct"/>
            <w:shd w:val="clear" w:color="auto" w:fill="auto"/>
            <w:noWrap/>
            <w:vAlign w:val="center"/>
            <w:hideMark/>
          </w:tcPr>
          <w:p w14:paraId="18055FD5" w14:textId="77777777" w:rsidR="00F53AB2" w:rsidRPr="00E51207" w:rsidRDefault="00F53AB2" w:rsidP="003C3DAA">
            <w:pPr>
              <w:jc w:val="right"/>
              <w:rPr>
                <w:color w:val="000000"/>
                <w:sz w:val="16"/>
                <w:szCs w:val="16"/>
              </w:rPr>
            </w:pPr>
            <w:r w:rsidRPr="00E51207">
              <w:rPr>
                <w:color w:val="000000"/>
                <w:sz w:val="16"/>
                <w:szCs w:val="16"/>
              </w:rPr>
              <w:t>23,68%</w:t>
            </w:r>
          </w:p>
        </w:tc>
        <w:tc>
          <w:tcPr>
            <w:tcW w:w="274" w:type="pct"/>
            <w:shd w:val="clear" w:color="auto" w:fill="F2F2F2" w:themeFill="background1" w:themeFillShade="F2"/>
            <w:noWrap/>
            <w:vAlign w:val="center"/>
            <w:hideMark/>
          </w:tcPr>
          <w:p w14:paraId="213A2B39" w14:textId="77777777" w:rsidR="00F53AB2" w:rsidRPr="00E51207" w:rsidRDefault="00F53AB2" w:rsidP="003C3DAA">
            <w:pPr>
              <w:jc w:val="center"/>
              <w:rPr>
                <w:color w:val="000000"/>
                <w:sz w:val="16"/>
                <w:szCs w:val="16"/>
              </w:rPr>
            </w:pPr>
            <w:r w:rsidRPr="00E51207">
              <w:rPr>
                <w:color w:val="000000"/>
                <w:sz w:val="16"/>
                <w:szCs w:val="16"/>
              </w:rPr>
              <w:t>19/38</w:t>
            </w:r>
          </w:p>
        </w:tc>
        <w:tc>
          <w:tcPr>
            <w:tcW w:w="274" w:type="pct"/>
            <w:shd w:val="clear" w:color="auto" w:fill="F2F2F2" w:themeFill="background1" w:themeFillShade="F2"/>
            <w:noWrap/>
            <w:vAlign w:val="center"/>
            <w:hideMark/>
          </w:tcPr>
          <w:p w14:paraId="4F98F010" w14:textId="77777777" w:rsidR="00F53AB2" w:rsidRPr="00E51207" w:rsidRDefault="00F53AB2" w:rsidP="003C3DAA">
            <w:pPr>
              <w:jc w:val="right"/>
              <w:rPr>
                <w:color w:val="000000"/>
                <w:sz w:val="16"/>
                <w:szCs w:val="16"/>
              </w:rPr>
            </w:pPr>
            <w:r w:rsidRPr="00E51207">
              <w:rPr>
                <w:color w:val="000000"/>
                <w:sz w:val="16"/>
                <w:szCs w:val="16"/>
              </w:rPr>
              <w:t>50</w:t>
            </w:r>
            <w:r>
              <w:rPr>
                <w:color w:val="000000"/>
                <w:sz w:val="16"/>
                <w:szCs w:val="16"/>
              </w:rPr>
              <w:t>,00</w:t>
            </w:r>
            <w:r w:rsidRPr="00E51207">
              <w:rPr>
                <w:color w:val="000000"/>
                <w:sz w:val="16"/>
                <w:szCs w:val="16"/>
              </w:rPr>
              <w:t>%</w:t>
            </w:r>
          </w:p>
        </w:tc>
        <w:tc>
          <w:tcPr>
            <w:tcW w:w="274" w:type="pct"/>
            <w:shd w:val="clear" w:color="auto" w:fill="auto"/>
            <w:noWrap/>
            <w:vAlign w:val="center"/>
            <w:hideMark/>
          </w:tcPr>
          <w:p w14:paraId="393E8528"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2E87263A"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11D2389E"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48D2CC0E" w14:textId="77777777" w:rsidR="00F53AB2" w:rsidRPr="00E51207" w:rsidRDefault="00F53AB2" w:rsidP="003C3DAA">
            <w:pPr>
              <w:jc w:val="right"/>
              <w:rPr>
                <w:color w:val="000000"/>
                <w:sz w:val="16"/>
                <w:szCs w:val="16"/>
              </w:rPr>
            </w:pPr>
            <w:r w:rsidRPr="00E51207">
              <w:rPr>
                <w:color w:val="000000"/>
                <w:sz w:val="16"/>
                <w:szCs w:val="16"/>
              </w:rPr>
              <w:t>/</w:t>
            </w:r>
          </w:p>
        </w:tc>
      </w:tr>
      <w:tr w:rsidR="00F53AB2" w:rsidRPr="00E51207" w14:paraId="75E66806" w14:textId="77777777" w:rsidTr="002263D5">
        <w:trPr>
          <w:trHeight w:val="290"/>
        </w:trPr>
        <w:tc>
          <w:tcPr>
            <w:tcW w:w="199" w:type="pct"/>
            <w:shd w:val="clear" w:color="auto" w:fill="auto"/>
            <w:noWrap/>
            <w:vAlign w:val="center"/>
            <w:hideMark/>
          </w:tcPr>
          <w:p w14:paraId="2B4EF8C3" w14:textId="77777777" w:rsidR="00F53AB2" w:rsidRPr="00E51207" w:rsidRDefault="00F53AB2" w:rsidP="003C3DAA">
            <w:pPr>
              <w:jc w:val="right"/>
              <w:rPr>
                <w:color w:val="000000"/>
                <w:sz w:val="16"/>
                <w:szCs w:val="16"/>
              </w:rPr>
            </w:pPr>
            <w:r w:rsidRPr="00E51207">
              <w:rPr>
                <w:color w:val="000000"/>
                <w:sz w:val="16"/>
                <w:szCs w:val="16"/>
              </w:rPr>
              <w:t>16.</w:t>
            </w:r>
          </w:p>
        </w:tc>
        <w:tc>
          <w:tcPr>
            <w:tcW w:w="2060" w:type="pct"/>
            <w:shd w:val="clear" w:color="auto" w:fill="auto"/>
            <w:noWrap/>
            <w:vAlign w:val="center"/>
            <w:hideMark/>
          </w:tcPr>
          <w:p w14:paraId="0FAA0BE3" w14:textId="77777777" w:rsidR="00F53AB2" w:rsidRPr="00E51207" w:rsidRDefault="00F53AB2" w:rsidP="003C3DAA">
            <w:pPr>
              <w:rPr>
                <w:color w:val="000000"/>
                <w:sz w:val="16"/>
                <w:szCs w:val="16"/>
              </w:rPr>
            </w:pPr>
            <w:r w:rsidRPr="00E51207">
              <w:rPr>
                <w:color w:val="000000"/>
                <w:sz w:val="16"/>
                <w:szCs w:val="16"/>
              </w:rPr>
              <w:t>Centralna banka BiH</w:t>
            </w:r>
          </w:p>
        </w:tc>
        <w:tc>
          <w:tcPr>
            <w:tcW w:w="274" w:type="pct"/>
            <w:shd w:val="clear" w:color="auto" w:fill="F2F2F2" w:themeFill="background1" w:themeFillShade="F2"/>
            <w:noWrap/>
            <w:vAlign w:val="center"/>
            <w:hideMark/>
          </w:tcPr>
          <w:p w14:paraId="0996BC0A"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76B8846D"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1FBD3DAA" w14:textId="77777777" w:rsidR="00F53AB2" w:rsidRPr="00E51207" w:rsidRDefault="00F53AB2" w:rsidP="003C3DAA">
            <w:pPr>
              <w:jc w:val="center"/>
              <w:rPr>
                <w:color w:val="000000"/>
                <w:sz w:val="16"/>
                <w:szCs w:val="16"/>
              </w:rPr>
            </w:pPr>
            <w:r w:rsidRPr="00E51207">
              <w:rPr>
                <w:color w:val="000000"/>
                <w:sz w:val="16"/>
                <w:szCs w:val="16"/>
              </w:rPr>
              <w:t>20/38</w:t>
            </w:r>
          </w:p>
        </w:tc>
        <w:tc>
          <w:tcPr>
            <w:tcW w:w="274" w:type="pct"/>
            <w:shd w:val="clear" w:color="auto" w:fill="auto"/>
            <w:noWrap/>
            <w:vAlign w:val="center"/>
            <w:hideMark/>
          </w:tcPr>
          <w:p w14:paraId="39F3642C" w14:textId="77777777" w:rsidR="00F53AB2" w:rsidRPr="00E51207" w:rsidRDefault="00F53AB2" w:rsidP="003C3DAA">
            <w:pPr>
              <w:jc w:val="right"/>
              <w:rPr>
                <w:color w:val="000000"/>
                <w:sz w:val="16"/>
                <w:szCs w:val="16"/>
              </w:rPr>
            </w:pPr>
            <w:r w:rsidRPr="00E51207">
              <w:rPr>
                <w:color w:val="000000"/>
                <w:sz w:val="16"/>
                <w:szCs w:val="16"/>
              </w:rPr>
              <w:t>52,63%</w:t>
            </w:r>
          </w:p>
        </w:tc>
        <w:tc>
          <w:tcPr>
            <w:tcW w:w="274" w:type="pct"/>
            <w:shd w:val="clear" w:color="auto" w:fill="F2F2F2" w:themeFill="background1" w:themeFillShade="F2"/>
            <w:noWrap/>
            <w:vAlign w:val="center"/>
            <w:hideMark/>
          </w:tcPr>
          <w:p w14:paraId="4956B56A"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1E7A7DA6"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5C33107C"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2E0C5451"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2A0B7727"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14E6D0D6" w14:textId="77777777" w:rsidR="00F53AB2" w:rsidRPr="00E51207" w:rsidRDefault="00F53AB2" w:rsidP="003C3DAA">
            <w:pPr>
              <w:jc w:val="right"/>
              <w:rPr>
                <w:color w:val="000000"/>
                <w:sz w:val="16"/>
                <w:szCs w:val="16"/>
              </w:rPr>
            </w:pPr>
            <w:r w:rsidRPr="00E51207">
              <w:rPr>
                <w:color w:val="000000"/>
                <w:sz w:val="16"/>
                <w:szCs w:val="16"/>
              </w:rPr>
              <w:t>/</w:t>
            </w:r>
          </w:p>
        </w:tc>
      </w:tr>
      <w:tr w:rsidR="00F53AB2" w:rsidRPr="00E51207" w14:paraId="0E70F735" w14:textId="77777777" w:rsidTr="002263D5">
        <w:trPr>
          <w:trHeight w:val="290"/>
        </w:trPr>
        <w:tc>
          <w:tcPr>
            <w:tcW w:w="199" w:type="pct"/>
            <w:shd w:val="clear" w:color="auto" w:fill="auto"/>
            <w:noWrap/>
            <w:vAlign w:val="center"/>
            <w:hideMark/>
          </w:tcPr>
          <w:p w14:paraId="2331968F" w14:textId="77777777" w:rsidR="00F53AB2" w:rsidRPr="00E51207" w:rsidRDefault="00F53AB2" w:rsidP="003C3DAA">
            <w:pPr>
              <w:jc w:val="right"/>
              <w:rPr>
                <w:color w:val="000000"/>
                <w:sz w:val="16"/>
                <w:szCs w:val="16"/>
              </w:rPr>
            </w:pPr>
            <w:r w:rsidRPr="00E51207">
              <w:rPr>
                <w:color w:val="000000"/>
                <w:sz w:val="16"/>
                <w:szCs w:val="16"/>
              </w:rPr>
              <w:t>17.</w:t>
            </w:r>
          </w:p>
        </w:tc>
        <w:tc>
          <w:tcPr>
            <w:tcW w:w="2060" w:type="pct"/>
            <w:shd w:val="clear" w:color="auto" w:fill="auto"/>
            <w:noWrap/>
            <w:vAlign w:val="center"/>
            <w:hideMark/>
          </w:tcPr>
          <w:p w14:paraId="4069A079" w14:textId="77777777" w:rsidR="00F53AB2" w:rsidRPr="00E51207" w:rsidRDefault="00F53AB2" w:rsidP="003C3DAA">
            <w:pPr>
              <w:rPr>
                <w:color w:val="000000"/>
                <w:sz w:val="16"/>
                <w:szCs w:val="16"/>
              </w:rPr>
            </w:pPr>
            <w:r w:rsidRPr="00E51207">
              <w:rPr>
                <w:color w:val="000000"/>
                <w:sz w:val="16"/>
                <w:szCs w:val="16"/>
              </w:rPr>
              <w:t>Ministarstvo vanjske trgovine i ekonomskih odnosa BiH</w:t>
            </w:r>
          </w:p>
        </w:tc>
        <w:tc>
          <w:tcPr>
            <w:tcW w:w="274" w:type="pct"/>
            <w:shd w:val="clear" w:color="auto" w:fill="F2F2F2" w:themeFill="background1" w:themeFillShade="F2"/>
            <w:noWrap/>
            <w:vAlign w:val="center"/>
            <w:hideMark/>
          </w:tcPr>
          <w:p w14:paraId="2F3E2876"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7EA2FCEC"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4DCDE391"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6EA01900"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0EEC015A" w14:textId="77777777" w:rsidR="00F53AB2" w:rsidRPr="00E51207" w:rsidRDefault="00F53AB2" w:rsidP="003C3DAA">
            <w:pPr>
              <w:jc w:val="center"/>
              <w:rPr>
                <w:color w:val="000000"/>
                <w:sz w:val="16"/>
                <w:szCs w:val="16"/>
              </w:rPr>
            </w:pPr>
            <w:r w:rsidRPr="00E51207">
              <w:rPr>
                <w:color w:val="000000"/>
                <w:sz w:val="16"/>
                <w:szCs w:val="16"/>
              </w:rPr>
              <w:t>20/38</w:t>
            </w:r>
          </w:p>
        </w:tc>
        <w:tc>
          <w:tcPr>
            <w:tcW w:w="274" w:type="pct"/>
            <w:shd w:val="clear" w:color="auto" w:fill="F2F2F2" w:themeFill="background1" w:themeFillShade="F2"/>
            <w:noWrap/>
            <w:vAlign w:val="center"/>
            <w:hideMark/>
          </w:tcPr>
          <w:p w14:paraId="0EFC7FFD" w14:textId="77777777" w:rsidR="00F53AB2" w:rsidRPr="00E51207" w:rsidRDefault="00F53AB2" w:rsidP="003C3DAA">
            <w:pPr>
              <w:jc w:val="right"/>
              <w:rPr>
                <w:color w:val="000000"/>
                <w:sz w:val="16"/>
                <w:szCs w:val="16"/>
              </w:rPr>
            </w:pPr>
            <w:r w:rsidRPr="00E51207">
              <w:rPr>
                <w:color w:val="000000"/>
                <w:sz w:val="16"/>
                <w:szCs w:val="16"/>
              </w:rPr>
              <w:t>52,63%</w:t>
            </w:r>
          </w:p>
        </w:tc>
        <w:tc>
          <w:tcPr>
            <w:tcW w:w="274" w:type="pct"/>
            <w:shd w:val="clear" w:color="auto" w:fill="auto"/>
            <w:noWrap/>
            <w:vAlign w:val="center"/>
            <w:hideMark/>
          </w:tcPr>
          <w:p w14:paraId="07C6B96C" w14:textId="77777777" w:rsidR="00F53AB2" w:rsidRPr="00E51207" w:rsidRDefault="00F53AB2" w:rsidP="003C3DAA">
            <w:pPr>
              <w:jc w:val="center"/>
              <w:rPr>
                <w:color w:val="000000"/>
                <w:sz w:val="16"/>
                <w:szCs w:val="16"/>
              </w:rPr>
            </w:pPr>
            <w:r w:rsidRPr="00E51207">
              <w:rPr>
                <w:color w:val="000000"/>
                <w:sz w:val="16"/>
                <w:szCs w:val="16"/>
              </w:rPr>
              <w:t>21/38</w:t>
            </w:r>
          </w:p>
        </w:tc>
        <w:tc>
          <w:tcPr>
            <w:tcW w:w="274" w:type="pct"/>
            <w:shd w:val="clear" w:color="auto" w:fill="auto"/>
            <w:noWrap/>
            <w:vAlign w:val="center"/>
            <w:hideMark/>
          </w:tcPr>
          <w:p w14:paraId="6DC413A9" w14:textId="77777777" w:rsidR="00F53AB2" w:rsidRPr="00E51207" w:rsidRDefault="00F53AB2" w:rsidP="003C3DAA">
            <w:pPr>
              <w:jc w:val="right"/>
              <w:rPr>
                <w:color w:val="000000"/>
                <w:sz w:val="16"/>
                <w:szCs w:val="16"/>
              </w:rPr>
            </w:pPr>
            <w:r w:rsidRPr="00E51207">
              <w:rPr>
                <w:color w:val="000000"/>
                <w:sz w:val="16"/>
                <w:szCs w:val="16"/>
              </w:rPr>
              <w:t>55,26%</w:t>
            </w:r>
          </w:p>
        </w:tc>
        <w:tc>
          <w:tcPr>
            <w:tcW w:w="274" w:type="pct"/>
            <w:shd w:val="clear" w:color="auto" w:fill="F2F2F2" w:themeFill="background1" w:themeFillShade="F2"/>
            <w:noWrap/>
            <w:vAlign w:val="center"/>
            <w:hideMark/>
          </w:tcPr>
          <w:p w14:paraId="163339C7" w14:textId="77777777" w:rsidR="00F53AB2" w:rsidRPr="00E51207" w:rsidRDefault="00F53AB2" w:rsidP="003C3DAA">
            <w:pPr>
              <w:jc w:val="center"/>
              <w:rPr>
                <w:color w:val="000000"/>
                <w:sz w:val="16"/>
                <w:szCs w:val="16"/>
              </w:rPr>
            </w:pPr>
            <w:r w:rsidRPr="00E51207">
              <w:rPr>
                <w:color w:val="000000"/>
                <w:sz w:val="16"/>
                <w:szCs w:val="16"/>
              </w:rPr>
              <w:t>20/38</w:t>
            </w:r>
          </w:p>
        </w:tc>
        <w:tc>
          <w:tcPr>
            <w:tcW w:w="274" w:type="pct"/>
            <w:shd w:val="clear" w:color="auto" w:fill="F2F2F2" w:themeFill="background1" w:themeFillShade="F2"/>
            <w:noWrap/>
            <w:vAlign w:val="center"/>
            <w:hideMark/>
          </w:tcPr>
          <w:p w14:paraId="463C32AD" w14:textId="77777777" w:rsidR="00F53AB2" w:rsidRPr="00E51207" w:rsidRDefault="00F53AB2" w:rsidP="003C3DAA">
            <w:pPr>
              <w:jc w:val="right"/>
              <w:rPr>
                <w:color w:val="000000"/>
                <w:sz w:val="16"/>
                <w:szCs w:val="16"/>
              </w:rPr>
            </w:pPr>
            <w:r w:rsidRPr="00E51207">
              <w:rPr>
                <w:color w:val="000000"/>
                <w:sz w:val="16"/>
                <w:szCs w:val="16"/>
              </w:rPr>
              <w:t>52,63%</w:t>
            </w:r>
          </w:p>
        </w:tc>
      </w:tr>
      <w:tr w:rsidR="00F53AB2" w:rsidRPr="00E51207" w14:paraId="7AA3641E" w14:textId="77777777" w:rsidTr="002263D5">
        <w:trPr>
          <w:trHeight w:val="290"/>
        </w:trPr>
        <w:tc>
          <w:tcPr>
            <w:tcW w:w="199" w:type="pct"/>
            <w:shd w:val="clear" w:color="auto" w:fill="auto"/>
            <w:noWrap/>
            <w:vAlign w:val="center"/>
            <w:hideMark/>
          </w:tcPr>
          <w:p w14:paraId="1EC8765C" w14:textId="77777777" w:rsidR="00F53AB2" w:rsidRPr="00E51207" w:rsidRDefault="00F53AB2" w:rsidP="003C3DAA">
            <w:pPr>
              <w:jc w:val="right"/>
              <w:rPr>
                <w:color w:val="000000"/>
                <w:sz w:val="16"/>
                <w:szCs w:val="16"/>
              </w:rPr>
            </w:pPr>
            <w:r w:rsidRPr="00E51207">
              <w:rPr>
                <w:color w:val="000000"/>
                <w:sz w:val="16"/>
                <w:szCs w:val="16"/>
              </w:rPr>
              <w:t>18.</w:t>
            </w:r>
          </w:p>
        </w:tc>
        <w:tc>
          <w:tcPr>
            <w:tcW w:w="2060" w:type="pct"/>
            <w:shd w:val="clear" w:color="auto" w:fill="auto"/>
            <w:noWrap/>
            <w:vAlign w:val="center"/>
            <w:hideMark/>
          </w:tcPr>
          <w:p w14:paraId="0B71738D" w14:textId="77777777" w:rsidR="00F53AB2" w:rsidRPr="00E51207" w:rsidRDefault="00F53AB2" w:rsidP="003C3DAA">
            <w:pPr>
              <w:rPr>
                <w:color w:val="000000"/>
                <w:sz w:val="16"/>
                <w:szCs w:val="16"/>
              </w:rPr>
            </w:pPr>
            <w:r w:rsidRPr="00E51207">
              <w:rPr>
                <w:color w:val="000000"/>
                <w:sz w:val="16"/>
                <w:szCs w:val="16"/>
              </w:rPr>
              <w:t>Centralna izborna komisija BiH</w:t>
            </w:r>
          </w:p>
        </w:tc>
        <w:tc>
          <w:tcPr>
            <w:tcW w:w="274" w:type="pct"/>
            <w:shd w:val="clear" w:color="auto" w:fill="F2F2F2" w:themeFill="background1" w:themeFillShade="F2"/>
            <w:noWrap/>
            <w:vAlign w:val="center"/>
            <w:hideMark/>
          </w:tcPr>
          <w:p w14:paraId="1A6AB0AE" w14:textId="77777777" w:rsidR="00F53AB2" w:rsidRPr="00E51207" w:rsidRDefault="00F53AB2" w:rsidP="003C3DAA">
            <w:pPr>
              <w:jc w:val="center"/>
              <w:rPr>
                <w:color w:val="000000"/>
                <w:sz w:val="16"/>
                <w:szCs w:val="16"/>
              </w:rPr>
            </w:pPr>
            <w:r w:rsidRPr="00E51207">
              <w:rPr>
                <w:color w:val="000000"/>
                <w:sz w:val="16"/>
                <w:szCs w:val="16"/>
              </w:rPr>
              <w:t>22/38</w:t>
            </w:r>
          </w:p>
        </w:tc>
        <w:tc>
          <w:tcPr>
            <w:tcW w:w="274" w:type="pct"/>
            <w:shd w:val="clear" w:color="auto" w:fill="F2F2F2" w:themeFill="background1" w:themeFillShade="F2"/>
            <w:noWrap/>
            <w:vAlign w:val="center"/>
            <w:hideMark/>
          </w:tcPr>
          <w:p w14:paraId="0A08CF7E" w14:textId="77777777" w:rsidR="00F53AB2" w:rsidRPr="00E51207" w:rsidRDefault="00F53AB2" w:rsidP="003C3DAA">
            <w:pPr>
              <w:jc w:val="right"/>
              <w:rPr>
                <w:color w:val="000000"/>
                <w:sz w:val="16"/>
                <w:szCs w:val="16"/>
              </w:rPr>
            </w:pPr>
            <w:r w:rsidRPr="00E51207">
              <w:rPr>
                <w:color w:val="000000"/>
                <w:sz w:val="16"/>
                <w:szCs w:val="16"/>
              </w:rPr>
              <w:t>57,89%</w:t>
            </w:r>
          </w:p>
        </w:tc>
        <w:tc>
          <w:tcPr>
            <w:tcW w:w="274" w:type="pct"/>
            <w:shd w:val="clear" w:color="auto" w:fill="auto"/>
            <w:noWrap/>
            <w:vAlign w:val="center"/>
            <w:hideMark/>
          </w:tcPr>
          <w:p w14:paraId="0F0CC4CE"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77E6D6DE"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6DCE0027"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12E8BB9A"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0571B7EC" w14:textId="77777777" w:rsidR="00F53AB2" w:rsidRPr="00E51207" w:rsidRDefault="00F53AB2" w:rsidP="003C3DAA">
            <w:pPr>
              <w:jc w:val="center"/>
              <w:rPr>
                <w:color w:val="000000"/>
                <w:sz w:val="16"/>
                <w:szCs w:val="16"/>
              </w:rPr>
            </w:pPr>
            <w:r w:rsidRPr="00E51207">
              <w:rPr>
                <w:color w:val="000000"/>
                <w:sz w:val="16"/>
                <w:szCs w:val="16"/>
              </w:rPr>
              <w:t>21/38</w:t>
            </w:r>
          </w:p>
        </w:tc>
        <w:tc>
          <w:tcPr>
            <w:tcW w:w="274" w:type="pct"/>
            <w:shd w:val="clear" w:color="auto" w:fill="auto"/>
            <w:noWrap/>
            <w:vAlign w:val="center"/>
            <w:hideMark/>
          </w:tcPr>
          <w:p w14:paraId="76A99C51" w14:textId="77777777" w:rsidR="00F53AB2" w:rsidRPr="00E51207" w:rsidRDefault="00F53AB2" w:rsidP="003C3DAA">
            <w:pPr>
              <w:jc w:val="right"/>
              <w:rPr>
                <w:color w:val="000000"/>
                <w:sz w:val="16"/>
                <w:szCs w:val="16"/>
              </w:rPr>
            </w:pPr>
            <w:r w:rsidRPr="00E51207">
              <w:rPr>
                <w:color w:val="000000"/>
                <w:sz w:val="16"/>
                <w:szCs w:val="16"/>
              </w:rPr>
              <w:t>55,26%</w:t>
            </w:r>
          </w:p>
        </w:tc>
        <w:tc>
          <w:tcPr>
            <w:tcW w:w="274" w:type="pct"/>
            <w:shd w:val="clear" w:color="auto" w:fill="F2F2F2" w:themeFill="background1" w:themeFillShade="F2"/>
            <w:noWrap/>
            <w:vAlign w:val="center"/>
            <w:hideMark/>
          </w:tcPr>
          <w:p w14:paraId="63DEC97B" w14:textId="77777777" w:rsidR="00F53AB2" w:rsidRPr="00E51207" w:rsidRDefault="00F53AB2" w:rsidP="003C3DAA">
            <w:pPr>
              <w:jc w:val="center"/>
              <w:rPr>
                <w:color w:val="000000"/>
                <w:sz w:val="16"/>
                <w:szCs w:val="16"/>
              </w:rPr>
            </w:pPr>
            <w:r w:rsidRPr="00E51207">
              <w:rPr>
                <w:color w:val="000000"/>
                <w:sz w:val="16"/>
                <w:szCs w:val="16"/>
              </w:rPr>
              <w:t>21/38</w:t>
            </w:r>
          </w:p>
        </w:tc>
        <w:tc>
          <w:tcPr>
            <w:tcW w:w="274" w:type="pct"/>
            <w:shd w:val="clear" w:color="auto" w:fill="F2F2F2" w:themeFill="background1" w:themeFillShade="F2"/>
            <w:noWrap/>
            <w:vAlign w:val="center"/>
            <w:hideMark/>
          </w:tcPr>
          <w:p w14:paraId="74E46FD6" w14:textId="77777777" w:rsidR="00F53AB2" w:rsidRPr="00E51207" w:rsidRDefault="00F53AB2" w:rsidP="003C3DAA">
            <w:pPr>
              <w:jc w:val="right"/>
              <w:rPr>
                <w:color w:val="000000"/>
                <w:sz w:val="16"/>
                <w:szCs w:val="16"/>
              </w:rPr>
            </w:pPr>
            <w:r w:rsidRPr="00E51207">
              <w:rPr>
                <w:color w:val="000000"/>
                <w:sz w:val="16"/>
                <w:szCs w:val="16"/>
              </w:rPr>
              <w:t>55,26%</w:t>
            </w:r>
          </w:p>
        </w:tc>
      </w:tr>
      <w:tr w:rsidR="00F53AB2" w:rsidRPr="00E51207" w14:paraId="19712E1E" w14:textId="77777777" w:rsidTr="002263D5">
        <w:trPr>
          <w:trHeight w:val="290"/>
        </w:trPr>
        <w:tc>
          <w:tcPr>
            <w:tcW w:w="199" w:type="pct"/>
            <w:shd w:val="clear" w:color="auto" w:fill="auto"/>
            <w:noWrap/>
            <w:vAlign w:val="center"/>
            <w:hideMark/>
          </w:tcPr>
          <w:p w14:paraId="6944CB02" w14:textId="77777777" w:rsidR="00F53AB2" w:rsidRPr="00E51207" w:rsidRDefault="00F53AB2" w:rsidP="003C3DAA">
            <w:pPr>
              <w:jc w:val="right"/>
              <w:rPr>
                <w:color w:val="000000"/>
                <w:sz w:val="16"/>
                <w:szCs w:val="16"/>
              </w:rPr>
            </w:pPr>
            <w:r w:rsidRPr="00E51207">
              <w:rPr>
                <w:color w:val="000000"/>
                <w:sz w:val="16"/>
                <w:szCs w:val="16"/>
              </w:rPr>
              <w:t>19.</w:t>
            </w:r>
          </w:p>
        </w:tc>
        <w:tc>
          <w:tcPr>
            <w:tcW w:w="2060" w:type="pct"/>
            <w:shd w:val="clear" w:color="auto" w:fill="auto"/>
            <w:noWrap/>
            <w:vAlign w:val="center"/>
            <w:hideMark/>
          </w:tcPr>
          <w:p w14:paraId="0F2CEC2A" w14:textId="77777777" w:rsidR="00F53AB2" w:rsidRPr="00E51207" w:rsidRDefault="00F53AB2" w:rsidP="003C3DAA">
            <w:pPr>
              <w:rPr>
                <w:color w:val="000000"/>
                <w:sz w:val="16"/>
                <w:szCs w:val="16"/>
              </w:rPr>
            </w:pPr>
            <w:r w:rsidRPr="00E51207">
              <w:rPr>
                <w:color w:val="000000"/>
                <w:sz w:val="16"/>
                <w:szCs w:val="16"/>
              </w:rPr>
              <w:t>Fond za povratak BiH</w:t>
            </w:r>
          </w:p>
        </w:tc>
        <w:tc>
          <w:tcPr>
            <w:tcW w:w="274" w:type="pct"/>
            <w:shd w:val="clear" w:color="auto" w:fill="F2F2F2" w:themeFill="background1" w:themeFillShade="F2"/>
            <w:noWrap/>
            <w:vAlign w:val="center"/>
            <w:hideMark/>
          </w:tcPr>
          <w:p w14:paraId="496CB1F7" w14:textId="77777777" w:rsidR="00F53AB2" w:rsidRPr="00E51207" w:rsidRDefault="00F53AB2" w:rsidP="003C3DAA">
            <w:pPr>
              <w:jc w:val="center"/>
              <w:rPr>
                <w:color w:val="000000"/>
                <w:sz w:val="16"/>
                <w:szCs w:val="16"/>
              </w:rPr>
            </w:pPr>
            <w:r w:rsidRPr="00E51207">
              <w:rPr>
                <w:color w:val="000000"/>
                <w:sz w:val="16"/>
                <w:szCs w:val="16"/>
              </w:rPr>
              <w:t>20/38</w:t>
            </w:r>
          </w:p>
        </w:tc>
        <w:tc>
          <w:tcPr>
            <w:tcW w:w="274" w:type="pct"/>
            <w:shd w:val="clear" w:color="auto" w:fill="F2F2F2" w:themeFill="background1" w:themeFillShade="F2"/>
            <w:noWrap/>
            <w:vAlign w:val="center"/>
            <w:hideMark/>
          </w:tcPr>
          <w:p w14:paraId="69F43F19" w14:textId="77777777" w:rsidR="00F53AB2" w:rsidRPr="00E51207" w:rsidRDefault="00F53AB2" w:rsidP="003C3DAA">
            <w:pPr>
              <w:jc w:val="right"/>
              <w:rPr>
                <w:color w:val="000000"/>
                <w:sz w:val="16"/>
                <w:szCs w:val="16"/>
              </w:rPr>
            </w:pPr>
            <w:r w:rsidRPr="00E51207">
              <w:rPr>
                <w:color w:val="000000"/>
                <w:sz w:val="16"/>
                <w:szCs w:val="16"/>
              </w:rPr>
              <w:t>52,63%</w:t>
            </w:r>
          </w:p>
        </w:tc>
        <w:tc>
          <w:tcPr>
            <w:tcW w:w="274" w:type="pct"/>
            <w:shd w:val="clear" w:color="auto" w:fill="auto"/>
            <w:noWrap/>
            <w:vAlign w:val="center"/>
            <w:hideMark/>
          </w:tcPr>
          <w:p w14:paraId="5A259146" w14:textId="77777777" w:rsidR="00F53AB2" w:rsidRPr="00E51207" w:rsidRDefault="00F53AB2" w:rsidP="003C3DAA">
            <w:pPr>
              <w:jc w:val="center"/>
              <w:rPr>
                <w:color w:val="000000"/>
                <w:sz w:val="16"/>
                <w:szCs w:val="16"/>
              </w:rPr>
            </w:pPr>
            <w:r w:rsidRPr="00E51207">
              <w:rPr>
                <w:color w:val="000000"/>
                <w:sz w:val="16"/>
                <w:szCs w:val="16"/>
              </w:rPr>
              <w:t>17/38</w:t>
            </w:r>
          </w:p>
        </w:tc>
        <w:tc>
          <w:tcPr>
            <w:tcW w:w="274" w:type="pct"/>
            <w:shd w:val="clear" w:color="auto" w:fill="auto"/>
            <w:noWrap/>
            <w:vAlign w:val="center"/>
            <w:hideMark/>
          </w:tcPr>
          <w:p w14:paraId="6E43198C" w14:textId="77777777" w:rsidR="00F53AB2" w:rsidRPr="00E51207" w:rsidRDefault="00F53AB2" w:rsidP="003C3DAA">
            <w:pPr>
              <w:jc w:val="right"/>
              <w:rPr>
                <w:color w:val="000000"/>
                <w:sz w:val="16"/>
                <w:szCs w:val="16"/>
              </w:rPr>
            </w:pPr>
            <w:r w:rsidRPr="00E51207">
              <w:rPr>
                <w:color w:val="000000"/>
                <w:sz w:val="16"/>
                <w:szCs w:val="16"/>
              </w:rPr>
              <w:t>44,74%</w:t>
            </w:r>
          </w:p>
        </w:tc>
        <w:tc>
          <w:tcPr>
            <w:tcW w:w="274" w:type="pct"/>
            <w:shd w:val="clear" w:color="auto" w:fill="F2F2F2" w:themeFill="background1" w:themeFillShade="F2"/>
            <w:noWrap/>
            <w:vAlign w:val="center"/>
            <w:hideMark/>
          </w:tcPr>
          <w:p w14:paraId="1F37F803" w14:textId="77777777" w:rsidR="00F53AB2" w:rsidRPr="00E51207" w:rsidRDefault="00F53AB2" w:rsidP="003C3DAA">
            <w:pPr>
              <w:jc w:val="center"/>
              <w:rPr>
                <w:color w:val="000000"/>
                <w:sz w:val="16"/>
                <w:szCs w:val="16"/>
              </w:rPr>
            </w:pPr>
            <w:r w:rsidRPr="00E51207">
              <w:rPr>
                <w:color w:val="000000"/>
                <w:sz w:val="16"/>
                <w:szCs w:val="16"/>
              </w:rPr>
              <w:t>18/38</w:t>
            </w:r>
          </w:p>
        </w:tc>
        <w:tc>
          <w:tcPr>
            <w:tcW w:w="274" w:type="pct"/>
            <w:shd w:val="clear" w:color="auto" w:fill="F2F2F2" w:themeFill="background1" w:themeFillShade="F2"/>
            <w:noWrap/>
            <w:vAlign w:val="center"/>
            <w:hideMark/>
          </w:tcPr>
          <w:p w14:paraId="41325126" w14:textId="77777777" w:rsidR="00F53AB2" w:rsidRPr="00E51207" w:rsidRDefault="00F53AB2" w:rsidP="003C3DAA">
            <w:pPr>
              <w:jc w:val="right"/>
              <w:rPr>
                <w:color w:val="000000"/>
                <w:sz w:val="16"/>
                <w:szCs w:val="16"/>
              </w:rPr>
            </w:pPr>
            <w:r w:rsidRPr="00E51207">
              <w:rPr>
                <w:color w:val="000000"/>
                <w:sz w:val="16"/>
                <w:szCs w:val="16"/>
              </w:rPr>
              <w:t>47,37%</w:t>
            </w:r>
          </w:p>
        </w:tc>
        <w:tc>
          <w:tcPr>
            <w:tcW w:w="274" w:type="pct"/>
            <w:shd w:val="clear" w:color="auto" w:fill="auto"/>
            <w:noWrap/>
            <w:vAlign w:val="center"/>
            <w:hideMark/>
          </w:tcPr>
          <w:p w14:paraId="425FF246" w14:textId="77777777" w:rsidR="00F53AB2" w:rsidRPr="00E51207" w:rsidRDefault="00F53AB2" w:rsidP="003C3DAA">
            <w:pPr>
              <w:jc w:val="center"/>
              <w:rPr>
                <w:color w:val="000000"/>
                <w:sz w:val="16"/>
                <w:szCs w:val="16"/>
              </w:rPr>
            </w:pPr>
            <w:r w:rsidRPr="00E51207">
              <w:rPr>
                <w:color w:val="000000"/>
                <w:sz w:val="16"/>
                <w:szCs w:val="16"/>
              </w:rPr>
              <w:t>22/38</w:t>
            </w:r>
          </w:p>
        </w:tc>
        <w:tc>
          <w:tcPr>
            <w:tcW w:w="274" w:type="pct"/>
            <w:shd w:val="clear" w:color="auto" w:fill="auto"/>
            <w:noWrap/>
            <w:vAlign w:val="center"/>
            <w:hideMark/>
          </w:tcPr>
          <w:p w14:paraId="75DE4E9A" w14:textId="77777777" w:rsidR="00F53AB2" w:rsidRPr="00E51207" w:rsidRDefault="00F53AB2" w:rsidP="003C3DAA">
            <w:pPr>
              <w:jc w:val="right"/>
              <w:rPr>
                <w:color w:val="000000"/>
                <w:sz w:val="16"/>
                <w:szCs w:val="16"/>
              </w:rPr>
            </w:pPr>
            <w:r w:rsidRPr="00E51207">
              <w:rPr>
                <w:color w:val="000000"/>
                <w:sz w:val="16"/>
                <w:szCs w:val="16"/>
              </w:rPr>
              <w:t>57,89%</w:t>
            </w:r>
          </w:p>
        </w:tc>
        <w:tc>
          <w:tcPr>
            <w:tcW w:w="274" w:type="pct"/>
            <w:shd w:val="clear" w:color="auto" w:fill="F2F2F2" w:themeFill="background1" w:themeFillShade="F2"/>
            <w:noWrap/>
            <w:vAlign w:val="center"/>
            <w:hideMark/>
          </w:tcPr>
          <w:p w14:paraId="6C7A6EB7" w14:textId="77777777" w:rsidR="00F53AB2" w:rsidRPr="00E51207" w:rsidRDefault="00F53AB2" w:rsidP="003C3DAA">
            <w:pPr>
              <w:jc w:val="center"/>
              <w:rPr>
                <w:color w:val="000000"/>
                <w:sz w:val="16"/>
                <w:szCs w:val="16"/>
              </w:rPr>
            </w:pPr>
            <w:r w:rsidRPr="00E51207">
              <w:rPr>
                <w:color w:val="000000"/>
                <w:sz w:val="16"/>
                <w:szCs w:val="16"/>
              </w:rPr>
              <w:t>21/38</w:t>
            </w:r>
          </w:p>
        </w:tc>
        <w:tc>
          <w:tcPr>
            <w:tcW w:w="274" w:type="pct"/>
            <w:shd w:val="clear" w:color="auto" w:fill="F2F2F2" w:themeFill="background1" w:themeFillShade="F2"/>
            <w:noWrap/>
            <w:vAlign w:val="center"/>
            <w:hideMark/>
          </w:tcPr>
          <w:p w14:paraId="2FF65D97" w14:textId="77777777" w:rsidR="00F53AB2" w:rsidRPr="00E51207" w:rsidRDefault="00F53AB2" w:rsidP="003C3DAA">
            <w:pPr>
              <w:jc w:val="right"/>
              <w:rPr>
                <w:color w:val="000000"/>
                <w:sz w:val="16"/>
                <w:szCs w:val="16"/>
              </w:rPr>
            </w:pPr>
            <w:r w:rsidRPr="00E51207">
              <w:rPr>
                <w:color w:val="000000"/>
                <w:sz w:val="16"/>
                <w:szCs w:val="16"/>
              </w:rPr>
              <w:t>55,26%</w:t>
            </w:r>
          </w:p>
        </w:tc>
      </w:tr>
      <w:tr w:rsidR="00F53AB2" w:rsidRPr="00E51207" w14:paraId="4A0D97B5" w14:textId="77777777" w:rsidTr="002263D5">
        <w:trPr>
          <w:trHeight w:val="290"/>
        </w:trPr>
        <w:tc>
          <w:tcPr>
            <w:tcW w:w="199" w:type="pct"/>
            <w:shd w:val="clear" w:color="auto" w:fill="auto"/>
            <w:noWrap/>
            <w:vAlign w:val="center"/>
            <w:hideMark/>
          </w:tcPr>
          <w:p w14:paraId="2602FA95" w14:textId="77777777" w:rsidR="00F53AB2" w:rsidRPr="00E51207" w:rsidRDefault="00F53AB2" w:rsidP="003C3DAA">
            <w:pPr>
              <w:jc w:val="right"/>
              <w:rPr>
                <w:color w:val="000000"/>
                <w:sz w:val="16"/>
                <w:szCs w:val="16"/>
              </w:rPr>
            </w:pPr>
            <w:r w:rsidRPr="00E51207">
              <w:rPr>
                <w:color w:val="000000"/>
                <w:sz w:val="16"/>
                <w:szCs w:val="16"/>
              </w:rPr>
              <w:t>20.</w:t>
            </w:r>
          </w:p>
        </w:tc>
        <w:tc>
          <w:tcPr>
            <w:tcW w:w="2060" w:type="pct"/>
            <w:shd w:val="clear" w:color="auto" w:fill="auto"/>
            <w:noWrap/>
            <w:vAlign w:val="center"/>
            <w:hideMark/>
          </w:tcPr>
          <w:p w14:paraId="5B53FD1F" w14:textId="77777777" w:rsidR="00F53AB2" w:rsidRPr="00E51207" w:rsidRDefault="00F53AB2" w:rsidP="003C3DAA">
            <w:pPr>
              <w:rPr>
                <w:color w:val="000000"/>
                <w:sz w:val="16"/>
                <w:szCs w:val="16"/>
              </w:rPr>
            </w:pPr>
            <w:r w:rsidRPr="00E51207">
              <w:rPr>
                <w:color w:val="000000"/>
                <w:sz w:val="16"/>
                <w:szCs w:val="16"/>
              </w:rPr>
              <w:t>Ured za veterinarstvo BiH</w:t>
            </w:r>
          </w:p>
        </w:tc>
        <w:tc>
          <w:tcPr>
            <w:tcW w:w="274" w:type="pct"/>
            <w:shd w:val="clear" w:color="auto" w:fill="F2F2F2" w:themeFill="background1" w:themeFillShade="F2"/>
            <w:noWrap/>
            <w:vAlign w:val="center"/>
            <w:hideMark/>
          </w:tcPr>
          <w:p w14:paraId="402263AE" w14:textId="77777777" w:rsidR="00F53AB2" w:rsidRPr="00E51207" w:rsidRDefault="00F53AB2" w:rsidP="003C3DAA">
            <w:pPr>
              <w:jc w:val="center"/>
              <w:rPr>
                <w:color w:val="000000"/>
                <w:sz w:val="16"/>
                <w:szCs w:val="16"/>
              </w:rPr>
            </w:pPr>
            <w:r w:rsidRPr="00E51207">
              <w:rPr>
                <w:color w:val="000000"/>
                <w:sz w:val="16"/>
                <w:szCs w:val="16"/>
              </w:rPr>
              <w:t>18/38</w:t>
            </w:r>
          </w:p>
        </w:tc>
        <w:tc>
          <w:tcPr>
            <w:tcW w:w="274" w:type="pct"/>
            <w:shd w:val="clear" w:color="auto" w:fill="F2F2F2" w:themeFill="background1" w:themeFillShade="F2"/>
            <w:noWrap/>
            <w:vAlign w:val="center"/>
            <w:hideMark/>
          </w:tcPr>
          <w:p w14:paraId="0256E6C0" w14:textId="77777777" w:rsidR="00F53AB2" w:rsidRPr="00E51207" w:rsidRDefault="00F53AB2" w:rsidP="003C3DAA">
            <w:pPr>
              <w:jc w:val="right"/>
              <w:rPr>
                <w:color w:val="000000"/>
                <w:sz w:val="16"/>
                <w:szCs w:val="16"/>
              </w:rPr>
            </w:pPr>
            <w:r w:rsidRPr="00E51207">
              <w:rPr>
                <w:color w:val="000000"/>
                <w:sz w:val="16"/>
                <w:szCs w:val="16"/>
              </w:rPr>
              <w:t>47,37%</w:t>
            </w:r>
          </w:p>
        </w:tc>
        <w:tc>
          <w:tcPr>
            <w:tcW w:w="274" w:type="pct"/>
            <w:shd w:val="clear" w:color="auto" w:fill="auto"/>
            <w:noWrap/>
            <w:vAlign w:val="center"/>
            <w:hideMark/>
          </w:tcPr>
          <w:p w14:paraId="5ADF13BD" w14:textId="77777777" w:rsidR="00F53AB2" w:rsidRPr="00E51207" w:rsidRDefault="00F53AB2" w:rsidP="003C3DAA">
            <w:pPr>
              <w:jc w:val="center"/>
              <w:rPr>
                <w:color w:val="000000"/>
                <w:sz w:val="16"/>
                <w:szCs w:val="16"/>
              </w:rPr>
            </w:pPr>
            <w:r w:rsidRPr="00E51207">
              <w:rPr>
                <w:color w:val="000000"/>
                <w:sz w:val="16"/>
                <w:szCs w:val="16"/>
              </w:rPr>
              <w:t>21/38</w:t>
            </w:r>
          </w:p>
        </w:tc>
        <w:tc>
          <w:tcPr>
            <w:tcW w:w="274" w:type="pct"/>
            <w:shd w:val="clear" w:color="auto" w:fill="auto"/>
            <w:noWrap/>
            <w:vAlign w:val="center"/>
            <w:hideMark/>
          </w:tcPr>
          <w:p w14:paraId="3B051826" w14:textId="77777777" w:rsidR="00F53AB2" w:rsidRPr="00E51207" w:rsidRDefault="00F53AB2" w:rsidP="003C3DAA">
            <w:pPr>
              <w:jc w:val="right"/>
              <w:rPr>
                <w:color w:val="000000"/>
                <w:sz w:val="16"/>
                <w:szCs w:val="16"/>
              </w:rPr>
            </w:pPr>
            <w:r w:rsidRPr="00E51207">
              <w:rPr>
                <w:color w:val="000000"/>
                <w:sz w:val="16"/>
                <w:szCs w:val="16"/>
              </w:rPr>
              <w:t>55,26%</w:t>
            </w:r>
          </w:p>
        </w:tc>
        <w:tc>
          <w:tcPr>
            <w:tcW w:w="274" w:type="pct"/>
            <w:shd w:val="clear" w:color="auto" w:fill="F2F2F2" w:themeFill="background1" w:themeFillShade="F2"/>
            <w:noWrap/>
            <w:vAlign w:val="center"/>
            <w:hideMark/>
          </w:tcPr>
          <w:p w14:paraId="4D7C3628" w14:textId="77777777" w:rsidR="00F53AB2" w:rsidRPr="00E51207" w:rsidRDefault="00F53AB2" w:rsidP="003C3DAA">
            <w:pPr>
              <w:jc w:val="center"/>
              <w:rPr>
                <w:color w:val="000000"/>
                <w:sz w:val="16"/>
                <w:szCs w:val="16"/>
              </w:rPr>
            </w:pPr>
            <w:r w:rsidRPr="00E51207">
              <w:rPr>
                <w:color w:val="000000"/>
                <w:sz w:val="16"/>
                <w:szCs w:val="16"/>
              </w:rPr>
              <w:t>28/38</w:t>
            </w:r>
          </w:p>
        </w:tc>
        <w:tc>
          <w:tcPr>
            <w:tcW w:w="274" w:type="pct"/>
            <w:shd w:val="clear" w:color="auto" w:fill="F2F2F2" w:themeFill="background1" w:themeFillShade="F2"/>
            <w:noWrap/>
            <w:vAlign w:val="center"/>
            <w:hideMark/>
          </w:tcPr>
          <w:p w14:paraId="313679E5" w14:textId="77777777" w:rsidR="00F53AB2" w:rsidRPr="00E51207" w:rsidRDefault="00F53AB2" w:rsidP="003C3DAA">
            <w:pPr>
              <w:jc w:val="right"/>
              <w:rPr>
                <w:color w:val="000000"/>
                <w:sz w:val="16"/>
                <w:szCs w:val="16"/>
              </w:rPr>
            </w:pPr>
            <w:r w:rsidRPr="00E51207">
              <w:rPr>
                <w:color w:val="000000"/>
                <w:sz w:val="16"/>
                <w:szCs w:val="16"/>
              </w:rPr>
              <w:t>73,68%</w:t>
            </w:r>
          </w:p>
        </w:tc>
        <w:tc>
          <w:tcPr>
            <w:tcW w:w="274" w:type="pct"/>
            <w:shd w:val="clear" w:color="auto" w:fill="auto"/>
            <w:noWrap/>
            <w:vAlign w:val="center"/>
            <w:hideMark/>
          </w:tcPr>
          <w:p w14:paraId="11EF061C"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19CA1154"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78077CFC" w14:textId="77777777" w:rsidR="00F53AB2" w:rsidRPr="00E51207" w:rsidRDefault="00F53AB2" w:rsidP="003C3DAA">
            <w:pPr>
              <w:jc w:val="center"/>
              <w:rPr>
                <w:color w:val="000000"/>
                <w:sz w:val="16"/>
                <w:szCs w:val="16"/>
              </w:rPr>
            </w:pPr>
            <w:r w:rsidRPr="00E51207">
              <w:rPr>
                <w:color w:val="000000"/>
                <w:sz w:val="16"/>
                <w:szCs w:val="16"/>
              </w:rPr>
              <w:t>21/38</w:t>
            </w:r>
          </w:p>
        </w:tc>
        <w:tc>
          <w:tcPr>
            <w:tcW w:w="274" w:type="pct"/>
            <w:shd w:val="clear" w:color="auto" w:fill="F2F2F2" w:themeFill="background1" w:themeFillShade="F2"/>
            <w:noWrap/>
            <w:vAlign w:val="center"/>
            <w:hideMark/>
          </w:tcPr>
          <w:p w14:paraId="5252B599" w14:textId="77777777" w:rsidR="00F53AB2" w:rsidRPr="00E51207" w:rsidRDefault="00F53AB2" w:rsidP="003C3DAA">
            <w:pPr>
              <w:jc w:val="right"/>
              <w:rPr>
                <w:color w:val="000000"/>
                <w:sz w:val="16"/>
                <w:szCs w:val="16"/>
              </w:rPr>
            </w:pPr>
            <w:r w:rsidRPr="00E51207">
              <w:rPr>
                <w:color w:val="000000"/>
                <w:sz w:val="16"/>
                <w:szCs w:val="16"/>
              </w:rPr>
              <w:t>55,26%</w:t>
            </w:r>
          </w:p>
        </w:tc>
      </w:tr>
      <w:tr w:rsidR="00F53AB2" w:rsidRPr="00E51207" w14:paraId="656B416D" w14:textId="77777777" w:rsidTr="002263D5">
        <w:trPr>
          <w:trHeight w:val="290"/>
        </w:trPr>
        <w:tc>
          <w:tcPr>
            <w:tcW w:w="199" w:type="pct"/>
            <w:shd w:val="clear" w:color="auto" w:fill="auto"/>
            <w:noWrap/>
            <w:vAlign w:val="center"/>
            <w:hideMark/>
          </w:tcPr>
          <w:p w14:paraId="0681CE87" w14:textId="77777777" w:rsidR="00F53AB2" w:rsidRPr="00E51207" w:rsidRDefault="00F53AB2" w:rsidP="003C3DAA">
            <w:pPr>
              <w:jc w:val="right"/>
              <w:rPr>
                <w:color w:val="000000"/>
                <w:sz w:val="16"/>
                <w:szCs w:val="16"/>
              </w:rPr>
            </w:pPr>
            <w:r w:rsidRPr="00E51207">
              <w:rPr>
                <w:color w:val="000000"/>
                <w:sz w:val="16"/>
                <w:szCs w:val="16"/>
              </w:rPr>
              <w:t>21.</w:t>
            </w:r>
          </w:p>
        </w:tc>
        <w:tc>
          <w:tcPr>
            <w:tcW w:w="2060" w:type="pct"/>
            <w:shd w:val="clear" w:color="auto" w:fill="auto"/>
            <w:noWrap/>
            <w:vAlign w:val="center"/>
            <w:hideMark/>
          </w:tcPr>
          <w:p w14:paraId="3CDCC75E" w14:textId="77777777" w:rsidR="00F53AB2" w:rsidRPr="00E51207" w:rsidRDefault="00F53AB2" w:rsidP="003C3DAA">
            <w:pPr>
              <w:rPr>
                <w:color w:val="000000"/>
                <w:sz w:val="16"/>
                <w:szCs w:val="16"/>
              </w:rPr>
            </w:pPr>
            <w:r w:rsidRPr="00E51207">
              <w:rPr>
                <w:color w:val="000000"/>
                <w:sz w:val="16"/>
                <w:szCs w:val="16"/>
              </w:rPr>
              <w:t>Direkcija za koordinaciju policijskih tijela BiH</w:t>
            </w:r>
          </w:p>
        </w:tc>
        <w:tc>
          <w:tcPr>
            <w:tcW w:w="274" w:type="pct"/>
            <w:shd w:val="clear" w:color="auto" w:fill="F2F2F2" w:themeFill="background1" w:themeFillShade="F2"/>
            <w:noWrap/>
            <w:vAlign w:val="center"/>
            <w:hideMark/>
          </w:tcPr>
          <w:p w14:paraId="7CD92F12" w14:textId="77777777" w:rsidR="00F53AB2" w:rsidRPr="00E51207" w:rsidRDefault="00F53AB2" w:rsidP="003C3DAA">
            <w:pPr>
              <w:jc w:val="center"/>
              <w:rPr>
                <w:color w:val="000000"/>
                <w:sz w:val="16"/>
                <w:szCs w:val="16"/>
              </w:rPr>
            </w:pPr>
            <w:r w:rsidRPr="00E51207">
              <w:rPr>
                <w:color w:val="000000"/>
                <w:sz w:val="16"/>
                <w:szCs w:val="16"/>
              </w:rPr>
              <w:t>28/38</w:t>
            </w:r>
          </w:p>
        </w:tc>
        <w:tc>
          <w:tcPr>
            <w:tcW w:w="274" w:type="pct"/>
            <w:shd w:val="clear" w:color="auto" w:fill="F2F2F2" w:themeFill="background1" w:themeFillShade="F2"/>
            <w:noWrap/>
            <w:vAlign w:val="center"/>
            <w:hideMark/>
          </w:tcPr>
          <w:p w14:paraId="32EFC225" w14:textId="77777777" w:rsidR="00F53AB2" w:rsidRPr="00E51207" w:rsidRDefault="00F53AB2" w:rsidP="003C3DAA">
            <w:pPr>
              <w:jc w:val="right"/>
              <w:rPr>
                <w:color w:val="000000"/>
                <w:sz w:val="16"/>
                <w:szCs w:val="16"/>
              </w:rPr>
            </w:pPr>
            <w:r w:rsidRPr="00E51207">
              <w:rPr>
                <w:color w:val="000000"/>
                <w:sz w:val="16"/>
                <w:szCs w:val="16"/>
              </w:rPr>
              <w:t>73,68%</w:t>
            </w:r>
          </w:p>
        </w:tc>
        <w:tc>
          <w:tcPr>
            <w:tcW w:w="274" w:type="pct"/>
            <w:shd w:val="clear" w:color="auto" w:fill="auto"/>
            <w:noWrap/>
            <w:vAlign w:val="center"/>
            <w:hideMark/>
          </w:tcPr>
          <w:p w14:paraId="32F7E1FB" w14:textId="77777777" w:rsidR="00F53AB2" w:rsidRPr="00E51207" w:rsidRDefault="00F53AB2" w:rsidP="003C3DAA">
            <w:pPr>
              <w:jc w:val="center"/>
              <w:rPr>
                <w:color w:val="000000"/>
                <w:sz w:val="16"/>
                <w:szCs w:val="16"/>
              </w:rPr>
            </w:pPr>
            <w:r w:rsidRPr="00E51207">
              <w:rPr>
                <w:color w:val="000000"/>
                <w:sz w:val="16"/>
                <w:szCs w:val="16"/>
              </w:rPr>
              <w:t>27/38</w:t>
            </w:r>
          </w:p>
        </w:tc>
        <w:tc>
          <w:tcPr>
            <w:tcW w:w="274" w:type="pct"/>
            <w:shd w:val="clear" w:color="auto" w:fill="auto"/>
            <w:noWrap/>
            <w:vAlign w:val="center"/>
            <w:hideMark/>
          </w:tcPr>
          <w:p w14:paraId="6AA51A2C" w14:textId="77777777" w:rsidR="00F53AB2" w:rsidRPr="00E51207" w:rsidRDefault="00F53AB2" w:rsidP="003C3DAA">
            <w:pPr>
              <w:jc w:val="right"/>
              <w:rPr>
                <w:color w:val="000000"/>
                <w:sz w:val="16"/>
                <w:szCs w:val="16"/>
              </w:rPr>
            </w:pPr>
            <w:r w:rsidRPr="00E51207">
              <w:rPr>
                <w:color w:val="000000"/>
                <w:sz w:val="16"/>
                <w:szCs w:val="16"/>
              </w:rPr>
              <w:t>71,05%</w:t>
            </w:r>
          </w:p>
        </w:tc>
        <w:tc>
          <w:tcPr>
            <w:tcW w:w="274" w:type="pct"/>
            <w:shd w:val="clear" w:color="auto" w:fill="F2F2F2" w:themeFill="background1" w:themeFillShade="F2"/>
            <w:noWrap/>
            <w:vAlign w:val="center"/>
            <w:hideMark/>
          </w:tcPr>
          <w:p w14:paraId="5AE9E878" w14:textId="77777777" w:rsidR="00F53AB2" w:rsidRPr="00E51207" w:rsidRDefault="00F53AB2" w:rsidP="003C3DAA">
            <w:pPr>
              <w:jc w:val="center"/>
              <w:rPr>
                <w:color w:val="000000"/>
                <w:sz w:val="16"/>
                <w:szCs w:val="16"/>
              </w:rPr>
            </w:pPr>
            <w:r w:rsidRPr="00E51207">
              <w:rPr>
                <w:color w:val="000000"/>
                <w:sz w:val="16"/>
                <w:szCs w:val="16"/>
              </w:rPr>
              <w:t>30/38</w:t>
            </w:r>
          </w:p>
        </w:tc>
        <w:tc>
          <w:tcPr>
            <w:tcW w:w="274" w:type="pct"/>
            <w:shd w:val="clear" w:color="auto" w:fill="F2F2F2" w:themeFill="background1" w:themeFillShade="F2"/>
            <w:noWrap/>
            <w:vAlign w:val="center"/>
            <w:hideMark/>
          </w:tcPr>
          <w:p w14:paraId="5A881F4E" w14:textId="77777777" w:rsidR="00F53AB2" w:rsidRPr="00E51207" w:rsidRDefault="00F53AB2" w:rsidP="003C3DAA">
            <w:pPr>
              <w:jc w:val="right"/>
              <w:rPr>
                <w:color w:val="000000"/>
                <w:sz w:val="16"/>
                <w:szCs w:val="16"/>
              </w:rPr>
            </w:pPr>
            <w:r w:rsidRPr="00E51207">
              <w:rPr>
                <w:color w:val="000000"/>
                <w:sz w:val="16"/>
                <w:szCs w:val="16"/>
              </w:rPr>
              <w:t>78,95%</w:t>
            </w:r>
          </w:p>
        </w:tc>
        <w:tc>
          <w:tcPr>
            <w:tcW w:w="274" w:type="pct"/>
            <w:shd w:val="clear" w:color="auto" w:fill="auto"/>
            <w:noWrap/>
            <w:vAlign w:val="center"/>
            <w:hideMark/>
          </w:tcPr>
          <w:p w14:paraId="3325D9C4" w14:textId="77777777" w:rsidR="00F53AB2" w:rsidRPr="00E51207" w:rsidRDefault="00F53AB2" w:rsidP="003C3DAA">
            <w:pPr>
              <w:jc w:val="center"/>
              <w:rPr>
                <w:color w:val="000000"/>
                <w:sz w:val="16"/>
                <w:szCs w:val="16"/>
              </w:rPr>
            </w:pPr>
            <w:r w:rsidRPr="00E51207">
              <w:rPr>
                <w:color w:val="000000"/>
                <w:sz w:val="16"/>
                <w:szCs w:val="16"/>
              </w:rPr>
              <w:t>20/38</w:t>
            </w:r>
          </w:p>
        </w:tc>
        <w:tc>
          <w:tcPr>
            <w:tcW w:w="274" w:type="pct"/>
            <w:shd w:val="clear" w:color="auto" w:fill="auto"/>
            <w:noWrap/>
            <w:vAlign w:val="center"/>
            <w:hideMark/>
          </w:tcPr>
          <w:p w14:paraId="4E1FF34B" w14:textId="77777777" w:rsidR="00F53AB2" w:rsidRPr="00E51207" w:rsidRDefault="00F53AB2" w:rsidP="003C3DAA">
            <w:pPr>
              <w:jc w:val="right"/>
              <w:rPr>
                <w:color w:val="000000"/>
                <w:sz w:val="16"/>
                <w:szCs w:val="16"/>
              </w:rPr>
            </w:pPr>
            <w:r w:rsidRPr="00E51207">
              <w:rPr>
                <w:color w:val="000000"/>
                <w:sz w:val="16"/>
                <w:szCs w:val="16"/>
              </w:rPr>
              <w:t>52,63%</w:t>
            </w:r>
          </w:p>
        </w:tc>
        <w:tc>
          <w:tcPr>
            <w:tcW w:w="274" w:type="pct"/>
            <w:shd w:val="clear" w:color="auto" w:fill="F2F2F2" w:themeFill="background1" w:themeFillShade="F2"/>
            <w:noWrap/>
            <w:vAlign w:val="center"/>
            <w:hideMark/>
          </w:tcPr>
          <w:p w14:paraId="3AC55BD7" w14:textId="77777777" w:rsidR="00F53AB2" w:rsidRPr="00E51207" w:rsidRDefault="00F53AB2" w:rsidP="003C3DAA">
            <w:pPr>
              <w:jc w:val="center"/>
              <w:rPr>
                <w:color w:val="000000"/>
                <w:sz w:val="16"/>
                <w:szCs w:val="16"/>
              </w:rPr>
            </w:pPr>
            <w:r w:rsidRPr="00E51207">
              <w:rPr>
                <w:color w:val="000000"/>
                <w:sz w:val="16"/>
                <w:szCs w:val="16"/>
              </w:rPr>
              <w:t>22/38</w:t>
            </w:r>
          </w:p>
        </w:tc>
        <w:tc>
          <w:tcPr>
            <w:tcW w:w="274" w:type="pct"/>
            <w:shd w:val="clear" w:color="auto" w:fill="F2F2F2" w:themeFill="background1" w:themeFillShade="F2"/>
            <w:noWrap/>
            <w:vAlign w:val="center"/>
            <w:hideMark/>
          </w:tcPr>
          <w:p w14:paraId="4061078B" w14:textId="77777777" w:rsidR="00F53AB2" w:rsidRPr="00E51207" w:rsidRDefault="00F53AB2" w:rsidP="003C3DAA">
            <w:pPr>
              <w:jc w:val="right"/>
              <w:rPr>
                <w:color w:val="000000"/>
                <w:sz w:val="16"/>
                <w:szCs w:val="16"/>
              </w:rPr>
            </w:pPr>
            <w:r w:rsidRPr="00E51207">
              <w:rPr>
                <w:color w:val="000000"/>
                <w:sz w:val="16"/>
                <w:szCs w:val="16"/>
              </w:rPr>
              <w:t>57,89%</w:t>
            </w:r>
          </w:p>
        </w:tc>
      </w:tr>
      <w:tr w:rsidR="00F53AB2" w:rsidRPr="00E51207" w14:paraId="6D1D7310" w14:textId="77777777" w:rsidTr="002263D5">
        <w:trPr>
          <w:trHeight w:val="290"/>
        </w:trPr>
        <w:tc>
          <w:tcPr>
            <w:tcW w:w="199" w:type="pct"/>
            <w:shd w:val="clear" w:color="auto" w:fill="auto"/>
            <w:noWrap/>
            <w:vAlign w:val="center"/>
            <w:hideMark/>
          </w:tcPr>
          <w:p w14:paraId="5EB9DBF2" w14:textId="77777777" w:rsidR="00F53AB2" w:rsidRPr="00E51207" w:rsidRDefault="00F53AB2" w:rsidP="003C3DAA">
            <w:pPr>
              <w:jc w:val="right"/>
              <w:rPr>
                <w:color w:val="000000"/>
                <w:sz w:val="16"/>
                <w:szCs w:val="16"/>
              </w:rPr>
            </w:pPr>
            <w:r w:rsidRPr="00E51207">
              <w:rPr>
                <w:color w:val="000000"/>
                <w:sz w:val="16"/>
                <w:szCs w:val="16"/>
              </w:rPr>
              <w:t>22.</w:t>
            </w:r>
          </w:p>
        </w:tc>
        <w:tc>
          <w:tcPr>
            <w:tcW w:w="2060" w:type="pct"/>
            <w:shd w:val="clear" w:color="auto" w:fill="auto"/>
            <w:noWrap/>
            <w:vAlign w:val="center"/>
            <w:hideMark/>
          </w:tcPr>
          <w:p w14:paraId="1B37BB97" w14:textId="77777777" w:rsidR="00F53AB2" w:rsidRPr="00E51207" w:rsidRDefault="00F53AB2" w:rsidP="003C3DAA">
            <w:pPr>
              <w:rPr>
                <w:color w:val="000000"/>
                <w:sz w:val="16"/>
                <w:szCs w:val="16"/>
              </w:rPr>
            </w:pPr>
            <w:r w:rsidRPr="00E51207">
              <w:rPr>
                <w:color w:val="000000"/>
                <w:sz w:val="16"/>
                <w:szCs w:val="16"/>
              </w:rPr>
              <w:t>Sud BiH</w:t>
            </w:r>
          </w:p>
        </w:tc>
        <w:tc>
          <w:tcPr>
            <w:tcW w:w="274" w:type="pct"/>
            <w:shd w:val="clear" w:color="auto" w:fill="F2F2F2" w:themeFill="background1" w:themeFillShade="F2"/>
            <w:noWrap/>
            <w:vAlign w:val="center"/>
            <w:hideMark/>
          </w:tcPr>
          <w:p w14:paraId="4424602E"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428A93C3"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59536B84" w14:textId="77777777" w:rsidR="00F53AB2" w:rsidRPr="00E51207" w:rsidRDefault="00F53AB2" w:rsidP="003C3DAA">
            <w:pPr>
              <w:jc w:val="center"/>
              <w:rPr>
                <w:color w:val="000000"/>
                <w:sz w:val="16"/>
                <w:szCs w:val="16"/>
              </w:rPr>
            </w:pPr>
            <w:r w:rsidRPr="00E51207">
              <w:rPr>
                <w:color w:val="000000"/>
                <w:sz w:val="16"/>
                <w:szCs w:val="16"/>
              </w:rPr>
              <w:t>23/38</w:t>
            </w:r>
          </w:p>
        </w:tc>
        <w:tc>
          <w:tcPr>
            <w:tcW w:w="274" w:type="pct"/>
            <w:shd w:val="clear" w:color="auto" w:fill="auto"/>
            <w:noWrap/>
            <w:vAlign w:val="center"/>
            <w:hideMark/>
          </w:tcPr>
          <w:p w14:paraId="70509253" w14:textId="77777777" w:rsidR="00F53AB2" w:rsidRPr="00E51207" w:rsidRDefault="00F53AB2" w:rsidP="003C3DAA">
            <w:pPr>
              <w:jc w:val="right"/>
              <w:rPr>
                <w:color w:val="000000"/>
                <w:sz w:val="16"/>
                <w:szCs w:val="16"/>
              </w:rPr>
            </w:pPr>
            <w:r w:rsidRPr="00E51207">
              <w:rPr>
                <w:color w:val="000000"/>
                <w:sz w:val="16"/>
                <w:szCs w:val="16"/>
              </w:rPr>
              <w:t>60,53%</w:t>
            </w:r>
          </w:p>
        </w:tc>
        <w:tc>
          <w:tcPr>
            <w:tcW w:w="274" w:type="pct"/>
            <w:shd w:val="clear" w:color="auto" w:fill="F2F2F2" w:themeFill="background1" w:themeFillShade="F2"/>
            <w:noWrap/>
            <w:vAlign w:val="center"/>
            <w:hideMark/>
          </w:tcPr>
          <w:p w14:paraId="5E0A5F27" w14:textId="77777777" w:rsidR="00F53AB2" w:rsidRPr="00E51207" w:rsidRDefault="00F53AB2" w:rsidP="003C3DAA">
            <w:pPr>
              <w:jc w:val="center"/>
              <w:rPr>
                <w:color w:val="000000"/>
                <w:sz w:val="16"/>
                <w:szCs w:val="16"/>
              </w:rPr>
            </w:pPr>
            <w:r w:rsidRPr="00E51207">
              <w:rPr>
                <w:color w:val="000000"/>
                <w:sz w:val="16"/>
                <w:szCs w:val="16"/>
              </w:rPr>
              <w:t>20/38</w:t>
            </w:r>
          </w:p>
        </w:tc>
        <w:tc>
          <w:tcPr>
            <w:tcW w:w="274" w:type="pct"/>
            <w:shd w:val="clear" w:color="auto" w:fill="F2F2F2" w:themeFill="background1" w:themeFillShade="F2"/>
            <w:noWrap/>
            <w:vAlign w:val="center"/>
            <w:hideMark/>
          </w:tcPr>
          <w:p w14:paraId="4EF155AD" w14:textId="77777777" w:rsidR="00F53AB2" w:rsidRPr="00E51207" w:rsidRDefault="00F53AB2" w:rsidP="003C3DAA">
            <w:pPr>
              <w:jc w:val="right"/>
              <w:rPr>
                <w:color w:val="000000"/>
                <w:sz w:val="16"/>
                <w:szCs w:val="16"/>
              </w:rPr>
            </w:pPr>
            <w:r w:rsidRPr="00E51207">
              <w:rPr>
                <w:color w:val="000000"/>
                <w:sz w:val="16"/>
                <w:szCs w:val="16"/>
              </w:rPr>
              <w:t>52,63%</w:t>
            </w:r>
          </w:p>
        </w:tc>
        <w:tc>
          <w:tcPr>
            <w:tcW w:w="274" w:type="pct"/>
            <w:shd w:val="clear" w:color="auto" w:fill="auto"/>
            <w:noWrap/>
            <w:vAlign w:val="center"/>
            <w:hideMark/>
          </w:tcPr>
          <w:p w14:paraId="1B70A704"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4BC3FDC6"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38EB6D0C" w14:textId="77777777" w:rsidR="00F53AB2" w:rsidRPr="00E51207" w:rsidRDefault="00F53AB2" w:rsidP="003C3DAA">
            <w:pPr>
              <w:jc w:val="center"/>
              <w:rPr>
                <w:color w:val="000000"/>
                <w:sz w:val="16"/>
                <w:szCs w:val="16"/>
              </w:rPr>
            </w:pPr>
            <w:r w:rsidRPr="00E51207">
              <w:rPr>
                <w:color w:val="000000"/>
                <w:sz w:val="16"/>
                <w:szCs w:val="16"/>
              </w:rPr>
              <w:t>22/38</w:t>
            </w:r>
          </w:p>
        </w:tc>
        <w:tc>
          <w:tcPr>
            <w:tcW w:w="274" w:type="pct"/>
            <w:shd w:val="clear" w:color="auto" w:fill="F2F2F2" w:themeFill="background1" w:themeFillShade="F2"/>
            <w:noWrap/>
            <w:vAlign w:val="center"/>
            <w:hideMark/>
          </w:tcPr>
          <w:p w14:paraId="3AC33037" w14:textId="77777777" w:rsidR="00F53AB2" w:rsidRPr="00E51207" w:rsidRDefault="00F53AB2" w:rsidP="003C3DAA">
            <w:pPr>
              <w:jc w:val="right"/>
              <w:rPr>
                <w:color w:val="000000"/>
                <w:sz w:val="16"/>
                <w:szCs w:val="16"/>
              </w:rPr>
            </w:pPr>
            <w:r w:rsidRPr="00E51207">
              <w:rPr>
                <w:color w:val="000000"/>
                <w:sz w:val="16"/>
                <w:szCs w:val="16"/>
              </w:rPr>
              <w:t>57,89%</w:t>
            </w:r>
          </w:p>
        </w:tc>
      </w:tr>
      <w:tr w:rsidR="00F53AB2" w:rsidRPr="00E51207" w14:paraId="0C43EFCB" w14:textId="77777777" w:rsidTr="002263D5">
        <w:trPr>
          <w:trHeight w:val="290"/>
        </w:trPr>
        <w:tc>
          <w:tcPr>
            <w:tcW w:w="199" w:type="pct"/>
            <w:shd w:val="clear" w:color="auto" w:fill="auto"/>
            <w:noWrap/>
            <w:vAlign w:val="center"/>
            <w:hideMark/>
          </w:tcPr>
          <w:p w14:paraId="1DD418C9" w14:textId="77777777" w:rsidR="00F53AB2" w:rsidRPr="00E51207" w:rsidRDefault="00F53AB2" w:rsidP="003C3DAA">
            <w:pPr>
              <w:jc w:val="right"/>
              <w:rPr>
                <w:color w:val="000000"/>
                <w:sz w:val="16"/>
                <w:szCs w:val="16"/>
              </w:rPr>
            </w:pPr>
            <w:r w:rsidRPr="00E51207">
              <w:rPr>
                <w:color w:val="000000"/>
                <w:sz w:val="16"/>
                <w:szCs w:val="16"/>
              </w:rPr>
              <w:t>23.</w:t>
            </w:r>
          </w:p>
        </w:tc>
        <w:tc>
          <w:tcPr>
            <w:tcW w:w="2060" w:type="pct"/>
            <w:shd w:val="clear" w:color="auto" w:fill="auto"/>
            <w:noWrap/>
            <w:vAlign w:val="center"/>
            <w:hideMark/>
          </w:tcPr>
          <w:p w14:paraId="6CC7A71E" w14:textId="77777777" w:rsidR="00F53AB2" w:rsidRPr="00E51207" w:rsidRDefault="00F53AB2" w:rsidP="003C3DAA">
            <w:pPr>
              <w:rPr>
                <w:color w:val="000000"/>
                <w:sz w:val="16"/>
                <w:szCs w:val="16"/>
              </w:rPr>
            </w:pPr>
            <w:r w:rsidRPr="00E51207">
              <w:rPr>
                <w:color w:val="000000"/>
                <w:sz w:val="16"/>
                <w:szCs w:val="16"/>
              </w:rPr>
              <w:t>Ustavni sud BiH</w:t>
            </w:r>
          </w:p>
        </w:tc>
        <w:tc>
          <w:tcPr>
            <w:tcW w:w="274" w:type="pct"/>
            <w:shd w:val="clear" w:color="auto" w:fill="F2F2F2" w:themeFill="background1" w:themeFillShade="F2"/>
            <w:noWrap/>
            <w:vAlign w:val="center"/>
            <w:hideMark/>
          </w:tcPr>
          <w:p w14:paraId="42630A68"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6C930FD2"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60D2D589" w14:textId="77777777" w:rsidR="00F53AB2" w:rsidRPr="00E51207" w:rsidRDefault="00F53AB2" w:rsidP="003C3DAA">
            <w:pPr>
              <w:jc w:val="center"/>
              <w:rPr>
                <w:color w:val="000000"/>
                <w:sz w:val="16"/>
                <w:szCs w:val="16"/>
              </w:rPr>
            </w:pPr>
            <w:r w:rsidRPr="00E51207">
              <w:rPr>
                <w:color w:val="000000"/>
                <w:sz w:val="16"/>
                <w:szCs w:val="16"/>
              </w:rPr>
              <w:t>17/38</w:t>
            </w:r>
          </w:p>
        </w:tc>
        <w:tc>
          <w:tcPr>
            <w:tcW w:w="274" w:type="pct"/>
            <w:shd w:val="clear" w:color="auto" w:fill="auto"/>
            <w:noWrap/>
            <w:vAlign w:val="center"/>
            <w:hideMark/>
          </w:tcPr>
          <w:p w14:paraId="1356D87E" w14:textId="77777777" w:rsidR="00F53AB2" w:rsidRPr="00E51207" w:rsidRDefault="00F53AB2" w:rsidP="003C3DAA">
            <w:pPr>
              <w:jc w:val="right"/>
              <w:rPr>
                <w:color w:val="000000"/>
                <w:sz w:val="16"/>
                <w:szCs w:val="16"/>
              </w:rPr>
            </w:pPr>
            <w:r w:rsidRPr="00E51207">
              <w:rPr>
                <w:color w:val="000000"/>
                <w:sz w:val="16"/>
                <w:szCs w:val="16"/>
              </w:rPr>
              <w:t>44,74%</w:t>
            </w:r>
          </w:p>
        </w:tc>
        <w:tc>
          <w:tcPr>
            <w:tcW w:w="274" w:type="pct"/>
            <w:shd w:val="clear" w:color="auto" w:fill="F2F2F2" w:themeFill="background1" w:themeFillShade="F2"/>
            <w:noWrap/>
            <w:vAlign w:val="center"/>
            <w:hideMark/>
          </w:tcPr>
          <w:p w14:paraId="05BC0696" w14:textId="77777777" w:rsidR="00F53AB2" w:rsidRPr="00E51207" w:rsidRDefault="00F53AB2" w:rsidP="003C3DAA">
            <w:pPr>
              <w:jc w:val="center"/>
              <w:rPr>
                <w:color w:val="000000"/>
                <w:sz w:val="16"/>
                <w:szCs w:val="16"/>
              </w:rPr>
            </w:pPr>
            <w:r w:rsidRPr="00E51207">
              <w:rPr>
                <w:color w:val="000000"/>
                <w:sz w:val="16"/>
                <w:szCs w:val="16"/>
              </w:rPr>
              <w:t>19/38</w:t>
            </w:r>
          </w:p>
        </w:tc>
        <w:tc>
          <w:tcPr>
            <w:tcW w:w="274" w:type="pct"/>
            <w:shd w:val="clear" w:color="auto" w:fill="F2F2F2" w:themeFill="background1" w:themeFillShade="F2"/>
            <w:noWrap/>
            <w:vAlign w:val="center"/>
            <w:hideMark/>
          </w:tcPr>
          <w:p w14:paraId="19554D6F" w14:textId="77777777" w:rsidR="00F53AB2" w:rsidRPr="00E51207" w:rsidRDefault="00F53AB2" w:rsidP="003C3DAA">
            <w:pPr>
              <w:jc w:val="right"/>
              <w:rPr>
                <w:color w:val="000000"/>
                <w:sz w:val="16"/>
                <w:szCs w:val="16"/>
              </w:rPr>
            </w:pPr>
            <w:r w:rsidRPr="00E51207">
              <w:rPr>
                <w:color w:val="000000"/>
                <w:sz w:val="16"/>
                <w:szCs w:val="16"/>
              </w:rPr>
              <w:t>50</w:t>
            </w:r>
            <w:r>
              <w:rPr>
                <w:color w:val="000000"/>
                <w:sz w:val="16"/>
                <w:szCs w:val="16"/>
              </w:rPr>
              <w:t>,00</w:t>
            </w:r>
            <w:r w:rsidRPr="00E51207">
              <w:rPr>
                <w:color w:val="000000"/>
                <w:sz w:val="16"/>
                <w:szCs w:val="16"/>
              </w:rPr>
              <w:t>%</w:t>
            </w:r>
          </w:p>
        </w:tc>
        <w:tc>
          <w:tcPr>
            <w:tcW w:w="274" w:type="pct"/>
            <w:shd w:val="clear" w:color="auto" w:fill="auto"/>
            <w:noWrap/>
            <w:vAlign w:val="center"/>
            <w:hideMark/>
          </w:tcPr>
          <w:p w14:paraId="788863DA" w14:textId="77777777" w:rsidR="00F53AB2" w:rsidRPr="00E51207" w:rsidRDefault="00F53AB2" w:rsidP="003C3DAA">
            <w:pPr>
              <w:jc w:val="center"/>
              <w:rPr>
                <w:color w:val="000000"/>
                <w:sz w:val="16"/>
                <w:szCs w:val="16"/>
              </w:rPr>
            </w:pPr>
            <w:r w:rsidRPr="00E51207">
              <w:rPr>
                <w:color w:val="000000"/>
                <w:sz w:val="16"/>
                <w:szCs w:val="16"/>
              </w:rPr>
              <w:t>20/38</w:t>
            </w:r>
          </w:p>
        </w:tc>
        <w:tc>
          <w:tcPr>
            <w:tcW w:w="274" w:type="pct"/>
            <w:shd w:val="clear" w:color="auto" w:fill="auto"/>
            <w:noWrap/>
            <w:vAlign w:val="center"/>
            <w:hideMark/>
          </w:tcPr>
          <w:p w14:paraId="236B9BCE" w14:textId="77777777" w:rsidR="00F53AB2" w:rsidRPr="00E51207" w:rsidRDefault="00F53AB2" w:rsidP="003C3DAA">
            <w:pPr>
              <w:jc w:val="right"/>
              <w:rPr>
                <w:color w:val="000000"/>
                <w:sz w:val="16"/>
                <w:szCs w:val="16"/>
              </w:rPr>
            </w:pPr>
            <w:r w:rsidRPr="00E51207">
              <w:rPr>
                <w:color w:val="000000"/>
                <w:sz w:val="16"/>
                <w:szCs w:val="16"/>
              </w:rPr>
              <w:t>52,63%</w:t>
            </w:r>
          </w:p>
        </w:tc>
        <w:tc>
          <w:tcPr>
            <w:tcW w:w="274" w:type="pct"/>
            <w:shd w:val="clear" w:color="auto" w:fill="F2F2F2" w:themeFill="background1" w:themeFillShade="F2"/>
            <w:noWrap/>
            <w:vAlign w:val="center"/>
            <w:hideMark/>
          </w:tcPr>
          <w:p w14:paraId="7245002E" w14:textId="77777777" w:rsidR="00F53AB2" w:rsidRPr="00E51207" w:rsidRDefault="00F53AB2" w:rsidP="003C3DAA">
            <w:pPr>
              <w:jc w:val="center"/>
              <w:rPr>
                <w:color w:val="000000"/>
                <w:sz w:val="16"/>
                <w:szCs w:val="16"/>
              </w:rPr>
            </w:pPr>
            <w:r w:rsidRPr="00E51207">
              <w:rPr>
                <w:color w:val="000000"/>
                <w:sz w:val="16"/>
                <w:szCs w:val="16"/>
              </w:rPr>
              <w:t>22/38</w:t>
            </w:r>
          </w:p>
        </w:tc>
        <w:tc>
          <w:tcPr>
            <w:tcW w:w="274" w:type="pct"/>
            <w:shd w:val="clear" w:color="auto" w:fill="F2F2F2" w:themeFill="background1" w:themeFillShade="F2"/>
            <w:noWrap/>
            <w:vAlign w:val="center"/>
            <w:hideMark/>
          </w:tcPr>
          <w:p w14:paraId="5C24D673" w14:textId="77777777" w:rsidR="00F53AB2" w:rsidRPr="00E51207" w:rsidRDefault="00F53AB2" w:rsidP="003C3DAA">
            <w:pPr>
              <w:jc w:val="right"/>
              <w:rPr>
                <w:color w:val="000000"/>
                <w:sz w:val="16"/>
                <w:szCs w:val="16"/>
              </w:rPr>
            </w:pPr>
            <w:r w:rsidRPr="00E51207">
              <w:rPr>
                <w:color w:val="000000"/>
                <w:sz w:val="16"/>
                <w:szCs w:val="16"/>
              </w:rPr>
              <w:t>57,89%</w:t>
            </w:r>
          </w:p>
        </w:tc>
      </w:tr>
      <w:tr w:rsidR="00F53AB2" w:rsidRPr="00E51207" w14:paraId="4E2B6063" w14:textId="77777777" w:rsidTr="002263D5">
        <w:trPr>
          <w:trHeight w:val="290"/>
        </w:trPr>
        <w:tc>
          <w:tcPr>
            <w:tcW w:w="199" w:type="pct"/>
            <w:shd w:val="clear" w:color="auto" w:fill="auto"/>
            <w:noWrap/>
            <w:vAlign w:val="center"/>
            <w:hideMark/>
          </w:tcPr>
          <w:p w14:paraId="2552F572" w14:textId="77777777" w:rsidR="00F53AB2" w:rsidRPr="00E51207" w:rsidRDefault="00F53AB2" w:rsidP="003C3DAA">
            <w:pPr>
              <w:jc w:val="right"/>
              <w:rPr>
                <w:color w:val="000000"/>
                <w:sz w:val="16"/>
                <w:szCs w:val="16"/>
              </w:rPr>
            </w:pPr>
            <w:r w:rsidRPr="00E51207">
              <w:rPr>
                <w:color w:val="000000"/>
                <w:sz w:val="16"/>
                <w:szCs w:val="16"/>
              </w:rPr>
              <w:t>24.</w:t>
            </w:r>
          </w:p>
        </w:tc>
        <w:tc>
          <w:tcPr>
            <w:tcW w:w="2060" w:type="pct"/>
            <w:shd w:val="clear" w:color="auto" w:fill="auto"/>
            <w:noWrap/>
            <w:vAlign w:val="center"/>
            <w:hideMark/>
          </w:tcPr>
          <w:p w14:paraId="7A9EE0D1" w14:textId="77777777" w:rsidR="00F53AB2" w:rsidRPr="00E51207" w:rsidRDefault="00F53AB2" w:rsidP="003C3DAA">
            <w:pPr>
              <w:rPr>
                <w:color w:val="000000"/>
                <w:sz w:val="16"/>
                <w:szCs w:val="16"/>
              </w:rPr>
            </w:pPr>
            <w:r w:rsidRPr="00E51207">
              <w:rPr>
                <w:color w:val="000000"/>
                <w:sz w:val="16"/>
                <w:szCs w:val="16"/>
              </w:rPr>
              <w:t>Agencija za identifikacione dokumente, evidenciju i razmjenu podataka BiH</w:t>
            </w:r>
          </w:p>
        </w:tc>
        <w:tc>
          <w:tcPr>
            <w:tcW w:w="274" w:type="pct"/>
            <w:shd w:val="clear" w:color="auto" w:fill="F2F2F2" w:themeFill="background1" w:themeFillShade="F2"/>
            <w:noWrap/>
            <w:vAlign w:val="center"/>
            <w:hideMark/>
          </w:tcPr>
          <w:p w14:paraId="3C2399ED"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3CD4F76F"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51252B19"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19F34CC1"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25D44675" w14:textId="77777777" w:rsidR="00F53AB2" w:rsidRPr="00E51207" w:rsidRDefault="00F53AB2" w:rsidP="003C3DAA">
            <w:pPr>
              <w:jc w:val="center"/>
              <w:rPr>
                <w:color w:val="000000"/>
                <w:sz w:val="16"/>
                <w:szCs w:val="16"/>
              </w:rPr>
            </w:pPr>
            <w:r w:rsidRPr="00E51207">
              <w:rPr>
                <w:color w:val="000000"/>
                <w:sz w:val="16"/>
                <w:szCs w:val="16"/>
              </w:rPr>
              <w:t>24/38</w:t>
            </w:r>
          </w:p>
        </w:tc>
        <w:tc>
          <w:tcPr>
            <w:tcW w:w="274" w:type="pct"/>
            <w:shd w:val="clear" w:color="auto" w:fill="F2F2F2" w:themeFill="background1" w:themeFillShade="F2"/>
            <w:noWrap/>
            <w:vAlign w:val="center"/>
            <w:hideMark/>
          </w:tcPr>
          <w:p w14:paraId="5B9FAEC6" w14:textId="77777777" w:rsidR="00F53AB2" w:rsidRPr="00E51207" w:rsidRDefault="00F53AB2" w:rsidP="003C3DAA">
            <w:pPr>
              <w:jc w:val="right"/>
              <w:rPr>
                <w:color w:val="000000"/>
                <w:sz w:val="16"/>
                <w:szCs w:val="16"/>
              </w:rPr>
            </w:pPr>
            <w:r w:rsidRPr="00E51207">
              <w:rPr>
                <w:color w:val="000000"/>
                <w:sz w:val="16"/>
                <w:szCs w:val="16"/>
              </w:rPr>
              <w:t>63,16%</w:t>
            </w:r>
          </w:p>
        </w:tc>
        <w:tc>
          <w:tcPr>
            <w:tcW w:w="274" w:type="pct"/>
            <w:shd w:val="clear" w:color="auto" w:fill="auto"/>
            <w:noWrap/>
            <w:vAlign w:val="center"/>
            <w:hideMark/>
          </w:tcPr>
          <w:p w14:paraId="1800CB95"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718ECAF3"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0E0CB27C" w14:textId="77777777" w:rsidR="00F53AB2" w:rsidRPr="00E51207" w:rsidRDefault="00F53AB2" w:rsidP="003C3DAA">
            <w:pPr>
              <w:jc w:val="center"/>
              <w:rPr>
                <w:color w:val="000000"/>
                <w:sz w:val="16"/>
                <w:szCs w:val="16"/>
              </w:rPr>
            </w:pPr>
            <w:r w:rsidRPr="00E51207">
              <w:rPr>
                <w:color w:val="000000"/>
                <w:sz w:val="16"/>
                <w:szCs w:val="16"/>
              </w:rPr>
              <w:t>23/38</w:t>
            </w:r>
          </w:p>
        </w:tc>
        <w:tc>
          <w:tcPr>
            <w:tcW w:w="274" w:type="pct"/>
            <w:shd w:val="clear" w:color="auto" w:fill="F2F2F2" w:themeFill="background1" w:themeFillShade="F2"/>
            <w:noWrap/>
            <w:vAlign w:val="center"/>
            <w:hideMark/>
          </w:tcPr>
          <w:p w14:paraId="1827E93C" w14:textId="77777777" w:rsidR="00F53AB2" w:rsidRPr="00E51207" w:rsidRDefault="00F53AB2" w:rsidP="003C3DAA">
            <w:pPr>
              <w:jc w:val="right"/>
              <w:rPr>
                <w:color w:val="000000"/>
                <w:sz w:val="16"/>
                <w:szCs w:val="16"/>
              </w:rPr>
            </w:pPr>
            <w:r w:rsidRPr="00E51207">
              <w:rPr>
                <w:color w:val="000000"/>
                <w:sz w:val="16"/>
                <w:szCs w:val="16"/>
              </w:rPr>
              <w:t>60,53%</w:t>
            </w:r>
          </w:p>
        </w:tc>
      </w:tr>
      <w:tr w:rsidR="00F53AB2" w:rsidRPr="00E51207" w14:paraId="17D141C8" w14:textId="77777777" w:rsidTr="002263D5">
        <w:trPr>
          <w:trHeight w:val="290"/>
        </w:trPr>
        <w:tc>
          <w:tcPr>
            <w:tcW w:w="199" w:type="pct"/>
            <w:shd w:val="clear" w:color="auto" w:fill="auto"/>
            <w:noWrap/>
            <w:vAlign w:val="center"/>
            <w:hideMark/>
          </w:tcPr>
          <w:p w14:paraId="711D9BA4" w14:textId="77777777" w:rsidR="00F53AB2" w:rsidRPr="00E51207" w:rsidRDefault="00F53AB2" w:rsidP="003C3DAA">
            <w:pPr>
              <w:jc w:val="right"/>
              <w:rPr>
                <w:color w:val="000000"/>
                <w:sz w:val="16"/>
                <w:szCs w:val="16"/>
              </w:rPr>
            </w:pPr>
            <w:r w:rsidRPr="00E51207">
              <w:rPr>
                <w:color w:val="000000"/>
                <w:sz w:val="16"/>
                <w:szCs w:val="16"/>
              </w:rPr>
              <w:t>25.</w:t>
            </w:r>
          </w:p>
        </w:tc>
        <w:tc>
          <w:tcPr>
            <w:tcW w:w="2060" w:type="pct"/>
            <w:shd w:val="clear" w:color="auto" w:fill="auto"/>
            <w:noWrap/>
            <w:vAlign w:val="center"/>
            <w:hideMark/>
          </w:tcPr>
          <w:p w14:paraId="17E8CF14" w14:textId="77777777" w:rsidR="00F53AB2" w:rsidRPr="00E51207" w:rsidRDefault="00F53AB2" w:rsidP="003C3DAA">
            <w:pPr>
              <w:rPr>
                <w:color w:val="000000"/>
                <w:sz w:val="16"/>
                <w:szCs w:val="16"/>
              </w:rPr>
            </w:pPr>
            <w:r w:rsidRPr="00E51207">
              <w:rPr>
                <w:color w:val="000000"/>
                <w:sz w:val="16"/>
                <w:szCs w:val="16"/>
              </w:rPr>
              <w:t>Agencija za lijekove i medicinska sredstva BiH</w:t>
            </w:r>
          </w:p>
        </w:tc>
        <w:tc>
          <w:tcPr>
            <w:tcW w:w="274" w:type="pct"/>
            <w:shd w:val="clear" w:color="auto" w:fill="F2F2F2" w:themeFill="background1" w:themeFillShade="F2"/>
            <w:noWrap/>
            <w:vAlign w:val="center"/>
            <w:hideMark/>
          </w:tcPr>
          <w:p w14:paraId="595CE657"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5BFD7AA9"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2657842E" w14:textId="77777777" w:rsidR="00F53AB2" w:rsidRPr="00E51207" w:rsidRDefault="00F53AB2" w:rsidP="003C3DAA">
            <w:pPr>
              <w:jc w:val="center"/>
              <w:rPr>
                <w:color w:val="000000"/>
                <w:sz w:val="16"/>
                <w:szCs w:val="16"/>
              </w:rPr>
            </w:pPr>
            <w:r w:rsidRPr="00E51207">
              <w:rPr>
                <w:color w:val="000000"/>
                <w:sz w:val="16"/>
                <w:szCs w:val="16"/>
              </w:rPr>
              <w:t>24/38</w:t>
            </w:r>
          </w:p>
        </w:tc>
        <w:tc>
          <w:tcPr>
            <w:tcW w:w="274" w:type="pct"/>
            <w:shd w:val="clear" w:color="auto" w:fill="auto"/>
            <w:noWrap/>
            <w:vAlign w:val="center"/>
            <w:hideMark/>
          </w:tcPr>
          <w:p w14:paraId="0676A9F0" w14:textId="77777777" w:rsidR="00F53AB2" w:rsidRPr="00E51207" w:rsidRDefault="00F53AB2" w:rsidP="003C3DAA">
            <w:pPr>
              <w:jc w:val="right"/>
              <w:rPr>
                <w:color w:val="000000"/>
                <w:sz w:val="16"/>
                <w:szCs w:val="16"/>
              </w:rPr>
            </w:pPr>
            <w:r w:rsidRPr="00E51207">
              <w:rPr>
                <w:color w:val="000000"/>
                <w:sz w:val="16"/>
                <w:szCs w:val="16"/>
              </w:rPr>
              <w:t>63,16%</w:t>
            </w:r>
          </w:p>
        </w:tc>
        <w:tc>
          <w:tcPr>
            <w:tcW w:w="274" w:type="pct"/>
            <w:shd w:val="clear" w:color="auto" w:fill="F2F2F2" w:themeFill="background1" w:themeFillShade="F2"/>
            <w:noWrap/>
            <w:vAlign w:val="center"/>
            <w:hideMark/>
          </w:tcPr>
          <w:p w14:paraId="11620BC5" w14:textId="77777777" w:rsidR="00F53AB2" w:rsidRPr="00E51207" w:rsidRDefault="00F53AB2" w:rsidP="003C3DAA">
            <w:pPr>
              <w:jc w:val="center"/>
              <w:rPr>
                <w:color w:val="000000"/>
                <w:sz w:val="16"/>
                <w:szCs w:val="16"/>
              </w:rPr>
            </w:pPr>
            <w:r w:rsidRPr="00E51207">
              <w:rPr>
                <w:color w:val="000000"/>
                <w:sz w:val="16"/>
                <w:szCs w:val="16"/>
              </w:rPr>
              <w:t>23/38</w:t>
            </w:r>
          </w:p>
        </w:tc>
        <w:tc>
          <w:tcPr>
            <w:tcW w:w="274" w:type="pct"/>
            <w:shd w:val="clear" w:color="auto" w:fill="F2F2F2" w:themeFill="background1" w:themeFillShade="F2"/>
            <w:noWrap/>
            <w:vAlign w:val="center"/>
            <w:hideMark/>
          </w:tcPr>
          <w:p w14:paraId="796A4527" w14:textId="77777777" w:rsidR="00F53AB2" w:rsidRPr="00E51207" w:rsidRDefault="00F53AB2" w:rsidP="003C3DAA">
            <w:pPr>
              <w:jc w:val="right"/>
              <w:rPr>
                <w:color w:val="000000"/>
                <w:sz w:val="16"/>
                <w:szCs w:val="16"/>
              </w:rPr>
            </w:pPr>
            <w:r w:rsidRPr="00E51207">
              <w:rPr>
                <w:color w:val="000000"/>
                <w:sz w:val="16"/>
                <w:szCs w:val="16"/>
              </w:rPr>
              <w:t>60,53%</w:t>
            </w:r>
          </w:p>
        </w:tc>
        <w:tc>
          <w:tcPr>
            <w:tcW w:w="274" w:type="pct"/>
            <w:shd w:val="clear" w:color="auto" w:fill="auto"/>
            <w:noWrap/>
            <w:vAlign w:val="center"/>
            <w:hideMark/>
          </w:tcPr>
          <w:p w14:paraId="7CEBD908"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7EF20F73"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27479F3F"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01B50018" w14:textId="77777777" w:rsidR="00F53AB2" w:rsidRPr="00E51207" w:rsidRDefault="00F53AB2" w:rsidP="003C3DAA">
            <w:pPr>
              <w:jc w:val="right"/>
              <w:rPr>
                <w:color w:val="000000"/>
                <w:sz w:val="16"/>
                <w:szCs w:val="16"/>
              </w:rPr>
            </w:pPr>
            <w:r w:rsidRPr="00E51207">
              <w:rPr>
                <w:color w:val="000000"/>
                <w:sz w:val="16"/>
                <w:szCs w:val="16"/>
              </w:rPr>
              <w:t>/</w:t>
            </w:r>
          </w:p>
        </w:tc>
      </w:tr>
      <w:tr w:rsidR="00F53AB2" w:rsidRPr="00E51207" w14:paraId="723F1F56" w14:textId="77777777" w:rsidTr="002263D5">
        <w:trPr>
          <w:trHeight w:val="290"/>
        </w:trPr>
        <w:tc>
          <w:tcPr>
            <w:tcW w:w="199" w:type="pct"/>
            <w:shd w:val="clear" w:color="auto" w:fill="auto"/>
            <w:noWrap/>
            <w:vAlign w:val="center"/>
            <w:hideMark/>
          </w:tcPr>
          <w:p w14:paraId="51D55DD0" w14:textId="77777777" w:rsidR="00F53AB2" w:rsidRPr="00E51207" w:rsidRDefault="00F53AB2" w:rsidP="003C3DAA">
            <w:pPr>
              <w:jc w:val="right"/>
              <w:rPr>
                <w:color w:val="000000"/>
                <w:sz w:val="16"/>
                <w:szCs w:val="16"/>
              </w:rPr>
            </w:pPr>
            <w:r w:rsidRPr="00E51207">
              <w:rPr>
                <w:color w:val="000000"/>
                <w:sz w:val="16"/>
                <w:szCs w:val="16"/>
              </w:rPr>
              <w:t>26.</w:t>
            </w:r>
          </w:p>
        </w:tc>
        <w:tc>
          <w:tcPr>
            <w:tcW w:w="2060" w:type="pct"/>
            <w:shd w:val="clear" w:color="auto" w:fill="auto"/>
            <w:noWrap/>
            <w:vAlign w:val="center"/>
            <w:hideMark/>
          </w:tcPr>
          <w:p w14:paraId="017CE256" w14:textId="77777777" w:rsidR="00F53AB2" w:rsidRPr="00E51207" w:rsidRDefault="00F53AB2" w:rsidP="003C3DAA">
            <w:pPr>
              <w:rPr>
                <w:color w:val="000000"/>
                <w:sz w:val="16"/>
                <w:szCs w:val="16"/>
              </w:rPr>
            </w:pPr>
            <w:r w:rsidRPr="00E51207">
              <w:rPr>
                <w:color w:val="000000"/>
                <w:sz w:val="16"/>
                <w:szCs w:val="16"/>
              </w:rPr>
              <w:t>Komisija za očuvanje nacionalnih spomenika BiH</w:t>
            </w:r>
          </w:p>
        </w:tc>
        <w:tc>
          <w:tcPr>
            <w:tcW w:w="274" w:type="pct"/>
            <w:shd w:val="clear" w:color="auto" w:fill="F2F2F2" w:themeFill="background1" w:themeFillShade="F2"/>
            <w:noWrap/>
            <w:vAlign w:val="center"/>
            <w:hideMark/>
          </w:tcPr>
          <w:p w14:paraId="2F03B4B1"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3C37ADAA"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3F0E1D0D"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1B7D460E"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2FF541C2" w14:textId="77777777" w:rsidR="00F53AB2" w:rsidRPr="00E51207" w:rsidRDefault="00F53AB2" w:rsidP="003C3DAA">
            <w:pPr>
              <w:jc w:val="center"/>
              <w:rPr>
                <w:color w:val="000000"/>
                <w:sz w:val="16"/>
                <w:szCs w:val="16"/>
              </w:rPr>
            </w:pPr>
            <w:r w:rsidRPr="00E51207">
              <w:rPr>
                <w:color w:val="000000"/>
                <w:sz w:val="16"/>
                <w:szCs w:val="16"/>
              </w:rPr>
              <w:t>29/38</w:t>
            </w:r>
          </w:p>
        </w:tc>
        <w:tc>
          <w:tcPr>
            <w:tcW w:w="274" w:type="pct"/>
            <w:shd w:val="clear" w:color="auto" w:fill="F2F2F2" w:themeFill="background1" w:themeFillShade="F2"/>
            <w:noWrap/>
            <w:vAlign w:val="center"/>
            <w:hideMark/>
          </w:tcPr>
          <w:p w14:paraId="6EE86B91" w14:textId="77777777" w:rsidR="00F53AB2" w:rsidRPr="00E51207" w:rsidRDefault="00F53AB2" w:rsidP="003C3DAA">
            <w:pPr>
              <w:jc w:val="right"/>
              <w:rPr>
                <w:color w:val="000000"/>
                <w:sz w:val="16"/>
                <w:szCs w:val="16"/>
              </w:rPr>
            </w:pPr>
            <w:r w:rsidRPr="00E51207">
              <w:rPr>
                <w:color w:val="000000"/>
                <w:sz w:val="16"/>
                <w:szCs w:val="16"/>
              </w:rPr>
              <w:t>76,32%</w:t>
            </w:r>
          </w:p>
        </w:tc>
        <w:tc>
          <w:tcPr>
            <w:tcW w:w="274" w:type="pct"/>
            <w:shd w:val="clear" w:color="auto" w:fill="auto"/>
            <w:noWrap/>
            <w:vAlign w:val="center"/>
            <w:hideMark/>
          </w:tcPr>
          <w:p w14:paraId="65738D70" w14:textId="77777777" w:rsidR="00F53AB2" w:rsidRPr="00E51207" w:rsidRDefault="00F53AB2" w:rsidP="003C3DAA">
            <w:pPr>
              <w:jc w:val="center"/>
              <w:rPr>
                <w:color w:val="000000"/>
                <w:sz w:val="16"/>
                <w:szCs w:val="16"/>
              </w:rPr>
            </w:pPr>
            <w:r w:rsidRPr="00E51207">
              <w:rPr>
                <w:color w:val="000000"/>
                <w:sz w:val="16"/>
                <w:szCs w:val="16"/>
              </w:rPr>
              <w:t>27/38</w:t>
            </w:r>
          </w:p>
        </w:tc>
        <w:tc>
          <w:tcPr>
            <w:tcW w:w="274" w:type="pct"/>
            <w:shd w:val="clear" w:color="auto" w:fill="auto"/>
            <w:noWrap/>
            <w:vAlign w:val="center"/>
            <w:hideMark/>
          </w:tcPr>
          <w:p w14:paraId="1D05F3F5" w14:textId="77777777" w:rsidR="00F53AB2" w:rsidRPr="00E51207" w:rsidRDefault="00F53AB2" w:rsidP="003C3DAA">
            <w:pPr>
              <w:jc w:val="right"/>
              <w:rPr>
                <w:color w:val="000000"/>
                <w:sz w:val="16"/>
                <w:szCs w:val="16"/>
              </w:rPr>
            </w:pPr>
            <w:r w:rsidRPr="00E51207">
              <w:rPr>
                <w:color w:val="000000"/>
                <w:sz w:val="16"/>
                <w:szCs w:val="16"/>
              </w:rPr>
              <w:t>71,05%</w:t>
            </w:r>
          </w:p>
        </w:tc>
        <w:tc>
          <w:tcPr>
            <w:tcW w:w="274" w:type="pct"/>
            <w:shd w:val="clear" w:color="auto" w:fill="F2F2F2" w:themeFill="background1" w:themeFillShade="F2"/>
            <w:noWrap/>
            <w:vAlign w:val="center"/>
            <w:hideMark/>
          </w:tcPr>
          <w:p w14:paraId="086CB18F" w14:textId="77777777" w:rsidR="00F53AB2" w:rsidRPr="00E51207" w:rsidRDefault="00F53AB2" w:rsidP="003C3DAA">
            <w:pPr>
              <w:jc w:val="center"/>
              <w:rPr>
                <w:color w:val="000000"/>
                <w:sz w:val="16"/>
                <w:szCs w:val="16"/>
              </w:rPr>
            </w:pPr>
            <w:r w:rsidRPr="00E51207">
              <w:rPr>
                <w:color w:val="000000"/>
                <w:sz w:val="16"/>
                <w:szCs w:val="16"/>
              </w:rPr>
              <w:t>23/38</w:t>
            </w:r>
          </w:p>
        </w:tc>
        <w:tc>
          <w:tcPr>
            <w:tcW w:w="274" w:type="pct"/>
            <w:shd w:val="clear" w:color="auto" w:fill="F2F2F2" w:themeFill="background1" w:themeFillShade="F2"/>
            <w:noWrap/>
            <w:vAlign w:val="center"/>
            <w:hideMark/>
          </w:tcPr>
          <w:p w14:paraId="4CE46D3A" w14:textId="77777777" w:rsidR="00F53AB2" w:rsidRPr="00E51207" w:rsidRDefault="00F53AB2" w:rsidP="003C3DAA">
            <w:pPr>
              <w:jc w:val="right"/>
              <w:rPr>
                <w:color w:val="000000"/>
                <w:sz w:val="16"/>
                <w:szCs w:val="16"/>
              </w:rPr>
            </w:pPr>
            <w:r w:rsidRPr="00E51207">
              <w:rPr>
                <w:color w:val="000000"/>
                <w:sz w:val="16"/>
                <w:szCs w:val="16"/>
              </w:rPr>
              <w:t>60,53%</w:t>
            </w:r>
          </w:p>
        </w:tc>
      </w:tr>
      <w:tr w:rsidR="00F53AB2" w:rsidRPr="00E51207" w14:paraId="4AED9295" w14:textId="77777777" w:rsidTr="002263D5">
        <w:trPr>
          <w:trHeight w:val="290"/>
        </w:trPr>
        <w:tc>
          <w:tcPr>
            <w:tcW w:w="199" w:type="pct"/>
            <w:shd w:val="clear" w:color="auto" w:fill="auto"/>
            <w:noWrap/>
            <w:vAlign w:val="center"/>
            <w:hideMark/>
          </w:tcPr>
          <w:p w14:paraId="7AA21B34" w14:textId="77777777" w:rsidR="00F53AB2" w:rsidRPr="00E51207" w:rsidRDefault="00F53AB2" w:rsidP="003C3DAA">
            <w:pPr>
              <w:jc w:val="right"/>
              <w:rPr>
                <w:color w:val="000000"/>
                <w:sz w:val="16"/>
                <w:szCs w:val="16"/>
              </w:rPr>
            </w:pPr>
            <w:r w:rsidRPr="00E51207">
              <w:rPr>
                <w:color w:val="000000"/>
                <w:sz w:val="16"/>
                <w:szCs w:val="16"/>
              </w:rPr>
              <w:t>27.</w:t>
            </w:r>
          </w:p>
        </w:tc>
        <w:tc>
          <w:tcPr>
            <w:tcW w:w="2060" w:type="pct"/>
            <w:shd w:val="clear" w:color="auto" w:fill="auto"/>
            <w:noWrap/>
            <w:vAlign w:val="center"/>
            <w:hideMark/>
          </w:tcPr>
          <w:p w14:paraId="37FA888F" w14:textId="77777777" w:rsidR="00F53AB2" w:rsidRPr="00E51207" w:rsidRDefault="00F53AB2" w:rsidP="003C3DAA">
            <w:pPr>
              <w:rPr>
                <w:color w:val="000000"/>
                <w:sz w:val="16"/>
                <w:szCs w:val="16"/>
              </w:rPr>
            </w:pPr>
            <w:r w:rsidRPr="00E51207">
              <w:rPr>
                <w:color w:val="000000"/>
                <w:sz w:val="16"/>
                <w:szCs w:val="16"/>
              </w:rPr>
              <w:t>Ministarstvo sigurnosti BiH</w:t>
            </w:r>
          </w:p>
        </w:tc>
        <w:tc>
          <w:tcPr>
            <w:tcW w:w="274" w:type="pct"/>
            <w:shd w:val="clear" w:color="auto" w:fill="F2F2F2" w:themeFill="background1" w:themeFillShade="F2"/>
            <w:noWrap/>
            <w:vAlign w:val="center"/>
            <w:hideMark/>
          </w:tcPr>
          <w:p w14:paraId="2155BABB" w14:textId="77777777" w:rsidR="00F53AB2" w:rsidRPr="00E51207" w:rsidRDefault="00F53AB2" w:rsidP="003C3DAA">
            <w:pPr>
              <w:jc w:val="center"/>
              <w:rPr>
                <w:color w:val="000000"/>
                <w:sz w:val="16"/>
                <w:szCs w:val="16"/>
              </w:rPr>
            </w:pPr>
            <w:r w:rsidRPr="00E51207">
              <w:rPr>
                <w:color w:val="000000"/>
                <w:sz w:val="16"/>
                <w:szCs w:val="16"/>
              </w:rPr>
              <w:t>24/38</w:t>
            </w:r>
          </w:p>
        </w:tc>
        <w:tc>
          <w:tcPr>
            <w:tcW w:w="274" w:type="pct"/>
            <w:shd w:val="clear" w:color="auto" w:fill="F2F2F2" w:themeFill="background1" w:themeFillShade="F2"/>
            <w:noWrap/>
            <w:vAlign w:val="center"/>
            <w:hideMark/>
          </w:tcPr>
          <w:p w14:paraId="70E9572C" w14:textId="77777777" w:rsidR="00F53AB2" w:rsidRPr="00E51207" w:rsidRDefault="00F53AB2" w:rsidP="003C3DAA">
            <w:pPr>
              <w:jc w:val="right"/>
              <w:rPr>
                <w:color w:val="000000"/>
                <w:sz w:val="16"/>
                <w:szCs w:val="16"/>
              </w:rPr>
            </w:pPr>
            <w:r w:rsidRPr="00E51207">
              <w:rPr>
                <w:color w:val="000000"/>
                <w:sz w:val="16"/>
                <w:szCs w:val="16"/>
              </w:rPr>
              <w:t>63,16%</w:t>
            </w:r>
          </w:p>
        </w:tc>
        <w:tc>
          <w:tcPr>
            <w:tcW w:w="274" w:type="pct"/>
            <w:shd w:val="clear" w:color="auto" w:fill="auto"/>
            <w:noWrap/>
            <w:vAlign w:val="center"/>
            <w:hideMark/>
          </w:tcPr>
          <w:p w14:paraId="42C21883" w14:textId="77777777" w:rsidR="00F53AB2" w:rsidRPr="00E51207" w:rsidRDefault="00F53AB2" w:rsidP="003C3DAA">
            <w:pPr>
              <w:jc w:val="center"/>
              <w:rPr>
                <w:color w:val="000000"/>
                <w:sz w:val="16"/>
                <w:szCs w:val="16"/>
              </w:rPr>
            </w:pPr>
            <w:r w:rsidRPr="00E51207">
              <w:rPr>
                <w:color w:val="000000"/>
                <w:sz w:val="16"/>
                <w:szCs w:val="16"/>
              </w:rPr>
              <w:t>23/38</w:t>
            </w:r>
          </w:p>
        </w:tc>
        <w:tc>
          <w:tcPr>
            <w:tcW w:w="274" w:type="pct"/>
            <w:shd w:val="clear" w:color="auto" w:fill="auto"/>
            <w:noWrap/>
            <w:vAlign w:val="center"/>
            <w:hideMark/>
          </w:tcPr>
          <w:p w14:paraId="2B33383A" w14:textId="77777777" w:rsidR="00F53AB2" w:rsidRPr="00E51207" w:rsidRDefault="00F53AB2" w:rsidP="003C3DAA">
            <w:pPr>
              <w:jc w:val="right"/>
              <w:rPr>
                <w:color w:val="000000"/>
                <w:sz w:val="16"/>
                <w:szCs w:val="16"/>
              </w:rPr>
            </w:pPr>
            <w:r w:rsidRPr="00E51207">
              <w:rPr>
                <w:color w:val="000000"/>
                <w:sz w:val="16"/>
                <w:szCs w:val="16"/>
              </w:rPr>
              <w:t>60,53%</w:t>
            </w:r>
          </w:p>
        </w:tc>
        <w:tc>
          <w:tcPr>
            <w:tcW w:w="274" w:type="pct"/>
            <w:shd w:val="clear" w:color="auto" w:fill="F2F2F2" w:themeFill="background1" w:themeFillShade="F2"/>
            <w:noWrap/>
            <w:vAlign w:val="center"/>
            <w:hideMark/>
          </w:tcPr>
          <w:p w14:paraId="6700CC5B" w14:textId="77777777" w:rsidR="00F53AB2" w:rsidRPr="00E51207" w:rsidRDefault="00F53AB2" w:rsidP="003C3DAA">
            <w:pPr>
              <w:jc w:val="center"/>
              <w:rPr>
                <w:color w:val="000000"/>
                <w:sz w:val="16"/>
                <w:szCs w:val="16"/>
              </w:rPr>
            </w:pPr>
            <w:r w:rsidRPr="00E51207">
              <w:rPr>
                <w:color w:val="000000"/>
                <w:sz w:val="16"/>
                <w:szCs w:val="16"/>
              </w:rPr>
              <w:t>23/38</w:t>
            </w:r>
          </w:p>
        </w:tc>
        <w:tc>
          <w:tcPr>
            <w:tcW w:w="274" w:type="pct"/>
            <w:shd w:val="clear" w:color="auto" w:fill="F2F2F2" w:themeFill="background1" w:themeFillShade="F2"/>
            <w:noWrap/>
            <w:vAlign w:val="center"/>
            <w:hideMark/>
          </w:tcPr>
          <w:p w14:paraId="24AC9D3F" w14:textId="77777777" w:rsidR="00F53AB2" w:rsidRPr="00E51207" w:rsidRDefault="00F53AB2" w:rsidP="003C3DAA">
            <w:pPr>
              <w:jc w:val="right"/>
              <w:rPr>
                <w:color w:val="000000"/>
                <w:sz w:val="16"/>
                <w:szCs w:val="16"/>
              </w:rPr>
            </w:pPr>
            <w:r w:rsidRPr="00E51207">
              <w:rPr>
                <w:color w:val="000000"/>
                <w:sz w:val="16"/>
                <w:szCs w:val="16"/>
              </w:rPr>
              <w:t>60,53%</w:t>
            </w:r>
          </w:p>
        </w:tc>
        <w:tc>
          <w:tcPr>
            <w:tcW w:w="274" w:type="pct"/>
            <w:shd w:val="clear" w:color="auto" w:fill="auto"/>
            <w:noWrap/>
            <w:vAlign w:val="center"/>
            <w:hideMark/>
          </w:tcPr>
          <w:p w14:paraId="0D1939BB" w14:textId="77777777" w:rsidR="00F53AB2" w:rsidRPr="00E51207" w:rsidRDefault="00F53AB2" w:rsidP="003C3DAA">
            <w:pPr>
              <w:jc w:val="center"/>
              <w:rPr>
                <w:color w:val="000000"/>
                <w:sz w:val="16"/>
                <w:szCs w:val="16"/>
              </w:rPr>
            </w:pPr>
            <w:r w:rsidRPr="00E51207">
              <w:rPr>
                <w:color w:val="000000"/>
                <w:sz w:val="16"/>
                <w:szCs w:val="16"/>
              </w:rPr>
              <w:t>22/38</w:t>
            </w:r>
          </w:p>
        </w:tc>
        <w:tc>
          <w:tcPr>
            <w:tcW w:w="274" w:type="pct"/>
            <w:shd w:val="clear" w:color="auto" w:fill="auto"/>
            <w:noWrap/>
            <w:vAlign w:val="center"/>
            <w:hideMark/>
          </w:tcPr>
          <w:p w14:paraId="1BC8651F" w14:textId="77777777" w:rsidR="00F53AB2" w:rsidRPr="00E51207" w:rsidRDefault="00F53AB2" w:rsidP="003C3DAA">
            <w:pPr>
              <w:jc w:val="right"/>
              <w:rPr>
                <w:color w:val="000000"/>
                <w:sz w:val="16"/>
                <w:szCs w:val="16"/>
              </w:rPr>
            </w:pPr>
            <w:r w:rsidRPr="00E51207">
              <w:rPr>
                <w:color w:val="000000"/>
                <w:sz w:val="16"/>
                <w:szCs w:val="16"/>
              </w:rPr>
              <w:t>57,89%</w:t>
            </w:r>
          </w:p>
        </w:tc>
        <w:tc>
          <w:tcPr>
            <w:tcW w:w="274" w:type="pct"/>
            <w:shd w:val="clear" w:color="auto" w:fill="F2F2F2" w:themeFill="background1" w:themeFillShade="F2"/>
            <w:noWrap/>
            <w:vAlign w:val="center"/>
            <w:hideMark/>
          </w:tcPr>
          <w:p w14:paraId="71DC13DA" w14:textId="77777777" w:rsidR="00F53AB2" w:rsidRPr="00E51207" w:rsidRDefault="00F53AB2" w:rsidP="003C3DAA">
            <w:pPr>
              <w:jc w:val="center"/>
              <w:rPr>
                <w:color w:val="000000"/>
                <w:sz w:val="16"/>
                <w:szCs w:val="16"/>
              </w:rPr>
            </w:pPr>
            <w:r w:rsidRPr="00E51207">
              <w:rPr>
                <w:color w:val="000000"/>
                <w:sz w:val="16"/>
                <w:szCs w:val="16"/>
              </w:rPr>
              <w:t>23/38</w:t>
            </w:r>
          </w:p>
        </w:tc>
        <w:tc>
          <w:tcPr>
            <w:tcW w:w="274" w:type="pct"/>
            <w:shd w:val="clear" w:color="auto" w:fill="F2F2F2" w:themeFill="background1" w:themeFillShade="F2"/>
            <w:noWrap/>
            <w:vAlign w:val="center"/>
            <w:hideMark/>
          </w:tcPr>
          <w:p w14:paraId="22F277E0" w14:textId="77777777" w:rsidR="00F53AB2" w:rsidRPr="00E51207" w:rsidRDefault="00F53AB2" w:rsidP="003C3DAA">
            <w:pPr>
              <w:jc w:val="right"/>
              <w:rPr>
                <w:color w:val="000000"/>
                <w:sz w:val="16"/>
                <w:szCs w:val="16"/>
              </w:rPr>
            </w:pPr>
            <w:r w:rsidRPr="00E51207">
              <w:rPr>
                <w:color w:val="000000"/>
                <w:sz w:val="16"/>
                <w:szCs w:val="16"/>
              </w:rPr>
              <w:t>60,53%</w:t>
            </w:r>
          </w:p>
        </w:tc>
      </w:tr>
      <w:tr w:rsidR="00F53AB2" w:rsidRPr="00E51207" w14:paraId="1B2D02FE" w14:textId="77777777" w:rsidTr="002263D5">
        <w:trPr>
          <w:trHeight w:val="290"/>
        </w:trPr>
        <w:tc>
          <w:tcPr>
            <w:tcW w:w="199" w:type="pct"/>
            <w:shd w:val="clear" w:color="auto" w:fill="auto"/>
            <w:noWrap/>
            <w:vAlign w:val="center"/>
            <w:hideMark/>
          </w:tcPr>
          <w:p w14:paraId="171D3F8A" w14:textId="77777777" w:rsidR="00F53AB2" w:rsidRPr="00E51207" w:rsidRDefault="00F53AB2" w:rsidP="003C3DAA">
            <w:pPr>
              <w:jc w:val="right"/>
              <w:rPr>
                <w:color w:val="000000"/>
                <w:sz w:val="16"/>
                <w:szCs w:val="16"/>
              </w:rPr>
            </w:pPr>
            <w:r w:rsidRPr="00E51207">
              <w:rPr>
                <w:color w:val="000000"/>
                <w:sz w:val="16"/>
                <w:szCs w:val="16"/>
              </w:rPr>
              <w:t>28.</w:t>
            </w:r>
          </w:p>
        </w:tc>
        <w:tc>
          <w:tcPr>
            <w:tcW w:w="2060" w:type="pct"/>
            <w:shd w:val="clear" w:color="auto" w:fill="auto"/>
            <w:noWrap/>
            <w:vAlign w:val="center"/>
            <w:hideMark/>
          </w:tcPr>
          <w:p w14:paraId="581B49B4" w14:textId="77777777" w:rsidR="00F53AB2" w:rsidRPr="00E51207" w:rsidRDefault="00F53AB2" w:rsidP="003C3DAA">
            <w:pPr>
              <w:rPr>
                <w:color w:val="000000"/>
                <w:sz w:val="16"/>
                <w:szCs w:val="16"/>
              </w:rPr>
            </w:pPr>
            <w:r w:rsidRPr="00E51207">
              <w:rPr>
                <w:color w:val="000000"/>
                <w:sz w:val="16"/>
                <w:szCs w:val="16"/>
              </w:rPr>
              <w:t>Ured za razmatranje žalbi BiH</w:t>
            </w:r>
          </w:p>
        </w:tc>
        <w:tc>
          <w:tcPr>
            <w:tcW w:w="274" w:type="pct"/>
            <w:shd w:val="clear" w:color="auto" w:fill="F2F2F2" w:themeFill="background1" w:themeFillShade="F2"/>
            <w:noWrap/>
            <w:vAlign w:val="center"/>
            <w:hideMark/>
          </w:tcPr>
          <w:p w14:paraId="29E75D8D"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2BFCB7ED"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1928C070" w14:textId="77777777" w:rsidR="00F53AB2" w:rsidRPr="00E51207" w:rsidRDefault="00F53AB2" w:rsidP="003C3DAA">
            <w:pPr>
              <w:jc w:val="center"/>
              <w:rPr>
                <w:color w:val="000000"/>
                <w:sz w:val="16"/>
                <w:szCs w:val="16"/>
              </w:rPr>
            </w:pPr>
            <w:r w:rsidRPr="00E51207">
              <w:rPr>
                <w:color w:val="000000"/>
                <w:sz w:val="16"/>
                <w:szCs w:val="16"/>
              </w:rPr>
              <w:t>26/38</w:t>
            </w:r>
          </w:p>
        </w:tc>
        <w:tc>
          <w:tcPr>
            <w:tcW w:w="274" w:type="pct"/>
            <w:shd w:val="clear" w:color="auto" w:fill="auto"/>
            <w:noWrap/>
            <w:vAlign w:val="center"/>
            <w:hideMark/>
          </w:tcPr>
          <w:p w14:paraId="4B6B4B26" w14:textId="77777777" w:rsidR="00F53AB2" w:rsidRPr="00E51207" w:rsidRDefault="00F53AB2" w:rsidP="003C3DAA">
            <w:pPr>
              <w:jc w:val="right"/>
              <w:rPr>
                <w:color w:val="000000"/>
                <w:sz w:val="16"/>
                <w:szCs w:val="16"/>
              </w:rPr>
            </w:pPr>
            <w:r w:rsidRPr="00E51207">
              <w:rPr>
                <w:color w:val="000000"/>
                <w:sz w:val="16"/>
                <w:szCs w:val="16"/>
              </w:rPr>
              <w:t>68,42%</w:t>
            </w:r>
          </w:p>
        </w:tc>
        <w:tc>
          <w:tcPr>
            <w:tcW w:w="274" w:type="pct"/>
            <w:shd w:val="clear" w:color="auto" w:fill="F2F2F2" w:themeFill="background1" w:themeFillShade="F2"/>
            <w:noWrap/>
            <w:vAlign w:val="center"/>
            <w:hideMark/>
          </w:tcPr>
          <w:p w14:paraId="6E2ECF10"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14CA85FC"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3882E10D"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100074A9"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7C882F10" w14:textId="77777777" w:rsidR="00F53AB2" w:rsidRPr="00E51207" w:rsidRDefault="00F53AB2" w:rsidP="003C3DAA">
            <w:pPr>
              <w:jc w:val="center"/>
              <w:rPr>
                <w:color w:val="000000"/>
                <w:sz w:val="16"/>
                <w:szCs w:val="16"/>
              </w:rPr>
            </w:pPr>
            <w:r w:rsidRPr="00E51207">
              <w:rPr>
                <w:color w:val="000000"/>
                <w:sz w:val="16"/>
                <w:szCs w:val="16"/>
              </w:rPr>
              <w:t>23/38</w:t>
            </w:r>
          </w:p>
        </w:tc>
        <w:tc>
          <w:tcPr>
            <w:tcW w:w="274" w:type="pct"/>
            <w:shd w:val="clear" w:color="auto" w:fill="F2F2F2" w:themeFill="background1" w:themeFillShade="F2"/>
            <w:noWrap/>
            <w:vAlign w:val="center"/>
            <w:hideMark/>
          </w:tcPr>
          <w:p w14:paraId="0F827772" w14:textId="77777777" w:rsidR="00F53AB2" w:rsidRPr="00E51207" w:rsidRDefault="00F53AB2" w:rsidP="003C3DAA">
            <w:pPr>
              <w:jc w:val="right"/>
              <w:rPr>
                <w:color w:val="000000"/>
                <w:sz w:val="16"/>
                <w:szCs w:val="16"/>
              </w:rPr>
            </w:pPr>
            <w:r w:rsidRPr="00E51207">
              <w:rPr>
                <w:color w:val="000000"/>
                <w:sz w:val="16"/>
                <w:szCs w:val="16"/>
              </w:rPr>
              <w:t>60,53%</w:t>
            </w:r>
          </w:p>
        </w:tc>
      </w:tr>
      <w:tr w:rsidR="00F53AB2" w:rsidRPr="00E51207" w14:paraId="2A0DCE10" w14:textId="77777777" w:rsidTr="002263D5">
        <w:trPr>
          <w:trHeight w:val="290"/>
        </w:trPr>
        <w:tc>
          <w:tcPr>
            <w:tcW w:w="199" w:type="pct"/>
            <w:shd w:val="clear" w:color="auto" w:fill="auto"/>
            <w:noWrap/>
            <w:vAlign w:val="center"/>
            <w:hideMark/>
          </w:tcPr>
          <w:p w14:paraId="28D8950E" w14:textId="77777777" w:rsidR="00F53AB2" w:rsidRPr="00E51207" w:rsidRDefault="00F53AB2" w:rsidP="003C3DAA">
            <w:pPr>
              <w:jc w:val="right"/>
              <w:rPr>
                <w:color w:val="000000"/>
                <w:sz w:val="16"/>
                <w:szCs w:val="16"/>
              </w:rPr>
            </w:pPr>
            <w:r w:rsidRPr="00E51207">
              <w:rPr>
                <w:color w:val="000000"/>
                <w:sz w:val="16"/>
                <w:szCs w:val="16"/>
              </w:rPr>
              <w:t>29.</w:t>
            </w:r>
          </w:p>
        </w:tc>
        <w:tc>
          <w:tcPr>
            <w:tcW w:w="2060" w:type="pct"/>
            <w:shd w:val="clear" w:color="auto" w:fill="auto"/>
            <w:noWrap/>
            <w:vAlign w:val="center"/>
            <w:hideMark/>
          </w:tcPr>
          <w:p w14:paraId="17DAF834" w14:textId="77777777" w:rsidR="00F53AB2" w:rsidRPr="00E51207" w:rsidRDefault="00F53AB2" w:rsidP="003C3DAA">
            <w:pPr>
              <w:rPr>
                <w:color w:val="000000"/>
                <w:sz w:val="16"/>
                <w:szCs w:val="16"/>
              </w:rPr>
            </w:pPr>
            <w:r w:rsidRPr="00E51207">
              <w:rPr>
                <w:color w:val="000000"/>
                <w:sz w:val="16"/>
                <w:szCs w:val="16"/>
              </w:rPr>
              <w:t>Agencija za sigurnost hrane BiH</w:t>
            </w:r>
          </w:p>
        </w:tc>
        <w:tc>
          <w:tcPr>
            <w:tcW w:w="274" w:type="pct"/>
            <w:shd w:val="clear" w:color="auto" w:fill="F2F2F2" w:themeFill="background1" w:themeFillShade="F2"/>
            <w:noWrap/>
            <w:vAlign w:val="center"/>
            <w:hideMark/>
          </w:tcPr>
          <w:p w14:paraId="4670AC9F" w14:textId="77777777" w:rsidR="00F53AB2" w:rsidRPr="00E51207" w:rsidRDefault="00F53AB2" w:rsidP="003C3DAA">
            <w:pPr>
              <w:jc w:val="center"/>
              <w:rPr>
                <w:color w:val="000000"/>
                <w:sz w:val="16"/>
                <w:szCs w:val="16"/>
              </w:rPr>
            </w:pPr>
            <w:r w:rsidRPr="00E51207">
              <w:rPr>
                <w:color w:val="000000"/>
                <w:sz w:val="16"/>
                <w:szCs w:val="16"/>
              </w:rPr>
              <w:t>28/38</w:t>
            </w:r>
          </w:p>
        </w:tc>
        <w:tc>
          <w:tcPr>
            <w:tcW w:w="274" w:type="pct"/>
            <w:shd w:val="clear" w:color="auto" w:fill="F2F2F2" w:themeFill="background1" w:themeFillShade="F2"/>
            <w:noWrap/>
            <w:vAlign w:val="center"/>
            <w:hideMark/>
          </w:tcPr>
          <w:p w14:paraId="6B9B1F68" w14:textId="77777777" w:rsidR="00F53AB2" w:rsidRPr="00E51207" w:rsidRDefault="00F53AB2" w:rsidP="003C3DAA">
            <w:pPr>
              <w:jc w:val="right"/>
              <w:rPr>
                <w:color w:val="000000"/>
                <w:sz w:val="16"/>
                <w:szCs w:val="16"/>
              </w:rPr>
            </w:pPr>
            <w:r w:rsidRPr="00E51207">
              <w:rPr>
                <w:color w:val="000000"/>
                <w:sz w:val="16"/>
                <w:szCs w:val="16"/>
              </w:rPr>
              <w:t>73,68%</w:t>
            </w:r>
          </w:p>
        </w:tc>
        <w:tc>
          <w:tcPr>
            <w:tcW w:w="274" w:type="pct"/>
            <w:shd w:val="clear" w:color="auto" w:fill="auto"/>
            <w:noWrap/>
            <w:vAlign w:val="center"/>
            <w:hideMark/>
          </w:tcPr>
          <w:p w14:paraId="3910DC35" w14:textId="77777777" w:rsidR="00F53AB2" w:rsidRPr="00E51207" w:rsidRDefault="00F53AB2" w:rsidP="003C3DAA">
            <w:pPr>
              <w:jc w:val="center"/>
              <w:rPr>
                <w:color w:val="000000"/>
                <w:sz w:val="16"/>
                <w:szCs w:val="16"/>
              </w:rPr>
            </w:pPr>
            <w:r w:rsidRPr="00E51207">
              <w:rPr>
                <w:color w:val="000000"/>
                <w:sz w:val="16"/>
                <w:szCs w:val="16"/>
              </w:rPr>
              <w:t>29/38</w:t>
            </w:r>
          </w:p>
        </w:tc>
        <w:tc>
          <w:tcPr>
            <w:tcW w:w="274" w:type="pct"/>
            <w:shd w:val="clear" w:color="auto" w:fill="auto"/>
            <w:noWrap/>
            <w:vAlign w:val="center"/>
            <w:hideMark/>
          </w:tcPr>
          <w:p w14:paraId="56DCA7CE" w14:textId="77777777" w:rsidR="00F53AB2" w:rsidRPr="00E51207" w:rsidRDefault="00F53AB2" w:rsidP="003C3DAA">
            <w:pPr>
              <w:jc w:val="right"/>
              <w:rPr>
                <w:color w:val="000000"/>
                <w:sz w:val="16"/>
                <w:szCs w:val="16"/>
              </w:rPr>
            </w:pPr>
            <w:r w:rsidRPr="00E51207">
              <w:rPr>
                <w:color w:val="000000"/>
                <w:sz w:val="16"/>
                <w:szCs w:val="16"/>
              </w:rPr>
              <w:t>76,32%</w:t>
            </w:r>
          </w:p>
        </w:tc>
        <w:tc>
          <w:tcPr>
            <w:tcW w:w="274" w:type="pct"/>
            <w:shd w:val="clear" w:color="auto" w:fill="F2F2F2" w:themeFill="background1" w:themeFillShade="F2"/>
            <w:noWrap/>
            <w:vAlign w:val="center"/>
            <w:hideMark/>
          </w:tcPr>
          <w:p w14:paraId="6A1E7FC5" w14:textId="77777777" w:rsidR="00F53AB2" w:rsidRPr="00E51207" w:rsidRDefault="00F53AB2" w:rsidP="003C3DAA">
            <w:pPr>
              <w:jc w:val="center"/>
              <w:rPr>
                <w:color w:val="000000"/>
                <w:sz w:val="16"/>
                <w:szCs w:val="16"/>
              </w:rPr>
            </w:pPr>
            <w:r w:rsidRPr="00E51207">
              <w:rPr>
                <w:color w:val="000000"/>
                <w:sz w:val="16"/>
                <w:szCs w:val="16"/>
              </w:rPr>
              <w:t>27/38</w:t>
            </w:r>
          </w:p>
        </w:tc>
        <w:tc>
          <w:tcPr>
            <w:tcW w:w="274" w:type="pct"/>
            <w:shd w:val="clear" w:color="auto" w:fill="F2F2F2" w:themeFill="background1" w:themeFillShade="F2"/>
            <w:noWrap/>
            <w:vAlign w:val="center"/>
            <w:hideMark/>
          </w:tcPr>
          <w:p w14:paraId="2F18A506" w14:textId="77777777" w:rsidR="00F53AB2" w:rsidRPr="00E51207" w:rsidRDefault="00F53AB2" w:rsidP="003C3DAA">
            <w:pPr>
              <w:jc w:val="right"/>
              <w:rPr>
                <w:color w:val="000000"/>
                <w:sz w:val="16"/>
                <w:szCs w:val="16"/>
              </w:rPr>
            </w:pPr>
            <w:r w:rsidRPr="00E51207">
              <w:rPr>
                <w:color w:val="000000"/>
                <w:sz w:val="16"/>
                <w:szCs w:val="16"/>
              </w:rPr>
              <w:t>71,05%</w:t>
            </w:r>
          </w:p>
        </w:tc>
        <w:tc>
          <w:tcPr>
            <w:tcW w:w="274" w:type="pct"/>
            <w:shd w:val="clear" w:color="auto" w:fill="auto"/>
            <w:noWrap/>
            <w:vAlign w:val="center"/>
            <w:hideMark/>
          </w:tcPr>
          <w:p w14:paraId="5F7FA5B4"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3F04D204"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36F9C54F" w14:textId="77777777" w:rsidR="00F53AB2" w:rsidRPr="00E51207" w:rsidRDefault="00F53AB2" w:rsidP="003C3DAA">
            <w:pPr>
              <w:jc w:val="center"/>
              <w:rPr>
                <w:color w:val="000000"/>
                <w:sz w:val="16"/>
                <w:szCs w:val="16"/>
              </w:rPr>
            </w:pPr>
            <w:r w:rsidRPr="00E51207">
              <w:rPr>
                <w:color w:val="000000"/>
                <w:sz w:val="16"/>
                <w:szCs w:val="16"/>
              </w:rPr>
              <w:t>24/38</w:t>
            </w:r>
          </w:p>
        </w:tc>
        <w:tc>
          <w:tcPr>
            <w:tcW w:w="274" w:type="pct"/>
            <w:shd w:val="clear" w:color="auto" w:fill="F2F2F2" w:themeFill="background1" w:themeFillShade="F2"/>
            <w:noWrap/>
            <w:vAlign w:val="center"/>
            <w:hideMark/>
          </w:tcPr>
          <w:p w14:paraId="27134A15" w14:textId="77777777" w:rsidR="00F53AB2" w:rsidRPr="00E51207" w:rsidRDefault="00F53AB2" w:rsidP="003C3DAA">
            <w:pPr>
              <w:jc w:val="right"/>
              <w:rPr>
                <w:color w:val="000000"/>
                <w:sz w:val="16"/>
                <w:szCs w:val="16"/>
              </w:rPr>
            </w:pPr>
            <w:r w:rsidRPr="00E51207">
              <w:rPr>
                <w:color w:val="000000"/>
                <w:sz w:val="16"/>
                <w:szCs w:val="16"/>
              </w:rPr>
              <w:t>63,16%</w:t>
            </w:r>
          </w:p>
        </w:tc>
      </w:tr>
      <w:tr w:rsidR="00F53AB2" w:rsidRPr="00E51207" w14:paraId="76CA7D27" w14:textId="77777777" w:rsidTr="002263D5">
        <w:trPr>
          <w:trHeight w:val="290"/>
        </w:trPr>
        <w:tc>
          <w:tcPr>
            <w:tcW w:w="199" w:type="pct"/>
            <w:shd w:val="clear" w:color="auto" w:fill="auto"/>
            <w:noWrap/>
            <w:vAlign w:val="center"/>
            <w:hideMark/>
          </w:tcPr>
          <w:p w14:paraId="6EA70BC2" w14:textId="77777777" w:rsidR="00F53AB2" w:rsidRPr="00E51207" w:rsidRDefault="00F53AB2" w:rsidP="003C3DAA">
            <w:pPr>
              <w:jc w:val="right"/>
              <w:rPr>
                <w:color w:val="000000"/>
                <w:sz w:val="16"/>
                <w:szCs w:val="16"/>
              </w:rPr>
            </w:pPr>
            <w:r w:rsidRPr="00E51207">
              <w:rPr>
                <w:color w:val="000000"/>
                <w:sz w:val="16"/>
                <w:szCs w:val="16"/>
              </w:rPr>
              <w:t>30.</w:t>
            </w:r>
          </w:p>
        </w:tc>
        <w:tc>
          <w:tcPr>
            <w:tcW w:w="2060" w:type="pct"/>
            <w:shd w:val="clear" w:color="auto" w:fill="auto"/>
            <w:noWrap/>
            <w:vAlign w:val="center"/>
            <w:hideMark/>
          </w:tcPr>
          <w:p w14:paraId="197B0A6A" w14:textId="77777777" w:rsidR="00F53AB2" w:rsidRPr="00E51207" w:rsidRDefault="00F53AB2" w:rsidP="003C3DAA">
            <w:pPr>
              <w:rPr>
                <w:color w:val="000000"/>
                <w:sz w:val="16"/>
                <w:szCs w:val="16"/>
              </w:rPr>
            </w:pPr>
            <w:r w:rsidRPr="00E51207">
              <w:rPr>
                <w:color w:val="000000"/>
                <w:sz w:val="16"/>
                <w:szCs w:val="16"/>
              </w:rPr>
              <w:t>Ministarstvo pravde BiH</w:t>
            </w:r>
          </w:p>
        </w:tc>
        <w:tc>
          <w:tcPr>
            <w:tcW w:w="274" w:type="pct"/>
            <w:shd w:val="clear" w:color="auto" w:fill="F2F2F2" w:themeFill="background1" w:themeFillShade="F2"/>
            <w:noWrap/>
            <w:vAlign w:val="center"/>
            <w:hideMark/>
          </w:tcPr>
          <w:p w14:paraId="204B3E94" w14:textId="77777777" w:rsidR="00F53AB2" w:rsidRPr="00E51207" w:rsidRDefault="00F53AB2" w:rsidP="003C3DAA">
            <w:pPr>
              <w:jc w:val="center"/>
              <w:rPr>
                <w:color w:val="000000"/>
                <w:sz w:val="16"/>
                <w:szCs w:val="16"/>
              </w:rPr>
            </w:pPr>
            <w:r w:rsidRPr="00E51207">
              <w:rPr>
                <w:color w:val="000000"/>
                <w:sz w:val="16"/>
                <w:szCs w:val="16"/>
              </w:rPr>
              <w:t>19/38</w:t>
            </w:r>
          </w:p>
        </w:tc>
        <w:tc>
          <w:tcPr>
            <w:tcW w:w="274" w:type="pct"/>
            <w:shd w:val="clear" w:color="auto" w:fill="F2F2F2" w:themeFill="background1" w:themeFillShade="F2"/>
            <w:noWrap/>
            <w:vAlign w:val="center"/>
            <w:hideMark/>
          </w:tcPr>
          <w:p w14:paraId="01AC84D8" w14:textId="77777777" w:rsidR="00F53AB2" w:rsidRPr="00E51207" w:rsidRDefault="00F53AB2" w:rsidP="003C3DAA">
            <w:pPr>
              <w:jc w:val="right"/>
              <w:rPr>
                <w:color w:val="000000"/>
                <w:sz w:val="16"/>
                <w:szCs w:val="16"/>
              </w:rPr>
            </w:pPr>
            <w:r w:rsidRPr="00E51207">
              <w:rPr>
                <w:color w:val="000000"/>
                <w:sz w:val="16"/>
                <w:szCs w:val="16"/>
              </w:rPr>
              <w:t>50</w:t>
            </w:r>
            <w:r>
              <w:rPr>
                <w:color w:val="000000"/>
                <w:sz w:val="16"/>
                <w:szCs w:val="16"/>
              </w:rPr>
              <w:t>,00</w:t>
            </w:r>
            <w:r w:rsidRPr="00E51207">
              <w:rPr>
                <w:color w:val="000000"/>
                <w:sz w:val="16"/>
                <w:szCs w:val="16"/>
              </w:rPr>
              <w:t>%</w:t>
            </w:r>
          </w:p>
        </w:tc>
        <w:tc>
          <w:tcPr>
            <w:tcW w:w="274" w:type="pct"/>
            <w:shd w:val="clear" w:color="auto" w:fill="auto"/>
            <w:noWrap/>
            <w:vAlign w:val="center"/>
            <w:hideMark/>
          </w:tcPr>
          <w:p w14:paraId="5270F41C"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5251C55E"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260D86E9"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6FFD515D"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642749E1"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524A288F"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0202DE67" w14:textId="77777777" w:rsidR="00F53AB2" w:rsidRPr="00E51207" w:rsidRDefault="00F53AB2" w:rsidP="003C3DAA">
            <w:pPr>
              <w:jc w:val="center"/>
              <w:rPr>
                <w:color w:val="000000"/>
                <w:sz w:val="16"/>
                <w:szCs w:val="16"/>
              </w:rPr>
            </w:pPr>
            <w:r w:rsidRPr="00E51207">
              <w:rPr>
                <w:color w:val="000000"/>
                <w:sz w:val="16"/>
                <w:szCs w:val="16"/>
              </w:rPr>
              <w:t>24/38</w:t>
            </w:r>
          </w:p>
        </w:tc>
        <w:tc>
          <w:tcPr>
            <w:tcW w:w="274" w:type="pct"/>
            <w:shd w:val="clear" w:color="auto" w:fill="F2F2F2" w:themeFill="background1" w:themeFillShade="F2"/>
            <w:noWrap/>
            <w:vAlign w:val="center"/>
            <w:hideMark/>
          </w:tcPr>
          <w:p w14:paraId="431AD0D6" w14:textId="77777777" w:rsidR="00F53AB2" w:rsidRPr="00E51207" w:rsidRDefault="00F53AB2" w:rsidP="003C3DAA">
            <w:pPr>
              <w:jc w:val="right"/>
              <w:rPr>
                <w:color w:val="000000"/>
                <w:sz w:val="16"/>
                <w:szCs w:val="16"/>
              </w:rPr>
            </w:pPr>
            <w:r w:rsidRPr="00E51207">
              <w:rPr>
                <w:color w:val="000000"/>
                <w:sz w:val="16"/>
                <w:szCs w:val="16"/>
              </w:rPr>
              <w:t>63,16%</w:t>
            </w:r>
          </w:p>
        </w:tc>
      </w:tr>
      <w:tr w:rsidR="00F53AB2" w:rsidRPr="00E51207" w14:paraId="396F545B" w14:textId="77777777" w:rsidTr="002263D5">
        <w:trPr>
          <w:trHeight w:val="290"/>
        </w:trPr>
        <w:tc>
          <w:tcPr>
            <w:tcW w:w="199" w:type="pct"/>
            <w:shd w:val="clear" w:color="auto" w:fill="auto"/>
            <w:noWrap/>
            <w:vAlign w:val="center"/>
            <w:hideMark/>
          </w:tcPr>
          <w:p w14:paraId="51304916" w14:textId="77777777" w:rsidR="00F53AB2" w:rsidRPr="00E51207" w:rsidRDefault="00F53AB2" w:rsidP="003C3DAA">
            <w:pPr>
              <w:jc w:val="right"/>
              <w:rPr>
                <w:color w:val="000000"/>
                <w:sz w:val="16"/>
                <w:szCs w:val="16"/>
              </w:rPr>
            </w:pPr>
            <w:r w:rsidRPr="00E51207">
              <w:rPr>
                <w:color w:val="000000"/>
                <w:sz w:val="16"/>
                <w:szCs w:val="16"/>
              </w:rPr>
              <w:t>31.</w:t>
            </w:r>
          </w:p>
        </w:tc>
        <w:tc>
          <w:tcPr>
            <w:tcW w:w="2060" w:type="pct"/>
            <w:shd w:val="clear" w:color="auto" w:fill="auto"/>
            <w:noWrap/>
            <w:vAlign w:val="center"/>
            <w:hideMark/>
          </w:tcPr>
          <w:p w14:paraId="4470BE03" w14:textId="77777777" w:rsidR="00F53AB2" w:rsidRPr="00E51207" w:rsidRDefault="00F53AB2" w:rsidP="003C3DAA">
            <w:pPr>
              <w:rPr>
                <w:color w:val="000000"/>
                <w:sz w:val="16"/>
                <w:szCs w:val="16"/>
              </w:rPr>
            </w:pPr>
            <w:r w:rsidRPr="00E51207">
              <w:rPr>
                <w:color w:val="000000"/>
                <w:sz w:val="16"/>
                <w:szCs w:val="16"/>
              </w:rPr>
              <w:t>Agencija za antidoping kontrolu BiH</w:t>
            </w:r>
          </w:p>
        </w:tc>
        <w:tc>
          <w:tcPr>
            <w:tcW w:w="274" w:type="pct"/>
            <w:shd w:val="clear" w:color="auto" w:fill="F2F2F2" w:themeFill="background1" w:themeFillShade="F2"/>
            <w:noWrap/>
            <w:vAlign w:val="center"/>
            <w:hideMark/>
          </w:tcPr>
          <w:p w14:paraId="34365DF2"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24BED320"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47B62DAB"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3302D80E"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0F277040"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7709EE96"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5312D831"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14FCB8A1"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3E43B063" w14:textId="77777777" w:rsidR="00F53AB2" w:rsidRPr="00E51207" w:rsidRDefault="00F53AB2" w:rsidP="003C3DAA">
            <w:pPr>
              <w:jc w:val="center"/>
              <w:rPr>
                <w:color w:val="000000"/>
                <w:sz w:val="16"/>
                <w:szCs w:val="16"/>
              </w:rPr>
            </w:pPr>
            <w:r w:rsidRPr="00E51207">
              <w:rPr>
                <w:color w:val="000000"/>
                <w:sz w:val="16"/>
                <w:szCs w:val="16"/>
              </w:rPr>
              <w:t>25/38</w:t>
            </w:r>
          </w:p>
        </w:tc>
        <w:tc>
          <w:tcPr>
            <w:tcW w:w="274" w:type="pct"/>
            <w:shd w:val="clear" w:color="auto" w:fill="F2F2F2" w:themeFill="background1" w:themeFillShade="F2"/>
            <w:noWrap/>
            <w:vAlign w:val="center"/>
            <w:hideMark/>
          </w:tcPr>
          <w:p w14:paraId="45D28CC6" w14:textId="77777777" w:rsidR="00F53AB2" w:rsidRPr="00E51207" w:rsidRDefault="00F53AB2" w:rsidP="003C3DAA">
            <w:pPr>
              <w:jc w:val="right"/>
              <w:rPr>
                <w:color w:val="000000"/>
                <w:sz w:val="16"/>
                <w:szCs w:val="16"/>
              </w:rPr>
            </w:pPr>
            <w:r w:rsidRPr="00E51207">
              <w:rPr>
                <w:color w:val="000000"/>
                <w:sz w:val="16"/>
                <w:szCs w:val="16"/>
              </w:rPr>
              <w:t>65,79%</w:t>
            </w:r>
          </w:p>
        </w:tc>
      </w:tr>
      <w:tr w:rsidR="00F53AB2" w:rsidRPr="00E51207" w14:paraId="6B045126" w14:textId="77777777" w:rsidTr="002263D5">
        <w:trPr>
          <w:trHeight w:val="290"/>
        </w:trPr>
        <w:tc>
          <w:tcPr>
            <w:tcW w:w="199" w:type="pct"/>
            <w:shd w:val="clear" w:color="auto" w:fill="auto"/>
            <w:noWrap/>
            <w:vAlign w:val="center"/>
            <w:hideMark/>
          </w:tcPr>
          <w:p w14:paraId="7F040B62" w14:textId="77777777" w:rsidR="00F53AB2" w:rsidRPr="00E51207" w:rsidRDefault="00F53AB2" w:rsidP="003C3DAA">
            <w:pPr>
              <w:jc w:val="right"/>
              <w:rPr>
                <w:color w:val="000000"/>
                <w:sz w:val="16"/>
                <w:szCs w:val="16"/>
              </w:rPr>
            </w:pPr>
            <w:r w:rsidRPr="00E51207">
              <w:rPr>
                <w:color w:val="000000"/>
                <w:sz w:val="16"/>
                <w:szCs w:val="16"/>
              </w:rPr>
              <w:t>32.</w:t>
            </w:r>
          </w:p>
        </w:tc>
        <w:tc>
          <w:tcPr>
            <w:tcW w:w="2060" w:type="pct"/>
            <w:shd w:val="clear" w:color="auto" w:fill="auto"/>
            <w:noWrap/>
            <w:vAlign w:val="center"/>
            <w:hideMark/>
          </w:tcPr>
          <w:p w14:paraId="5935B71F" w14:textId="77777777" w:rsidR="00F53AB2" w:rsidRPr="00E51207" w:rsidRDefault="00F53AB2" w:rsidP="003C3DAA">
            <w:pPr>
              <w:rPr>
                <w:color w:val="000000"/>
                <w:sz w:val="16"/>
                <w:szCs w:val="16"/>
              </w:rPr>
            </w:pPr>
            <w:r w:rsidRPr="00E51207">
              <w:rPr>
                <w:color w:val="000000"/>
                <w:sz w:val="16"/>
                <w:szCs w:val="16"/>
              </w:rPr>
              <w:t>Komisija za koncesije BiH</w:t>
            </w:r>
          </w:p>
        </w:tc>
        <w:tc>
          <w:tcPr>
            <w:tcW w:w="274" w:type="pct"/>
            <w:shd w:val="clear" w:color="auto" w:fill="F2F2F2" w:themeFill="background1" w:themeFillShade="F2"/>
            <w:noWrap/>
            <w:vAlign w:val="center"/>
            <w:hideMark/>
          </w:tcPr>
          <w:p w14:paraId="7CBEF84D"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45488C39"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0B383011"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0598A8FD"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4C9796D9" w14:textId="77777777" w:rsidR="00F53AB2" w:rsidRPr="00E51207" w:rsidRDefault="00F53AB2" w:rsidP="003C3DAA">
            <w:pPr>
              <w:jc w:val="center"/>
              <w:rPr>
                <w:color w:val="000000"/>
                <w:sz w:val="16"/>
                <w:szCs w:val="16"/>
              </w:rPr>
            </w:pPr>
            <w:r w:rsidRPr="00E51207">
              <w:rPr>
                <w:color w:val="000000"/>
                <w:sz w:val="16"/>
                <w:szCs w:val="16"/>
              </w:rPr>
              <w:t>23/38</w:t>
            </w:r>
          </w:p>
        </w:tc>
        <w:tc>
          <w:tcPr>
            <w:tcW w:w="274" w:type="pct"/>
            <w:shd w:val="clear" w:color="auto" w:fill="F2F2F2" w:themeFill="background1" w:themeFillShade="F2"/>
            <w:noWrap/>
            <w:vAlign w:val="center"/>
            <w:hideMark/>
          </w:tcPr>
          <w:p w14:paraId="6E82F1B9" w14:textId="77777777" w:rsidR="00F53AB2" w:rsidRPr="00E51207" w:rsidRDefault="00F53AB2" w:rsidP="003C3DAA">
            <w:pPr>
              <w:jc w:val="right"/>
              <w:rPr>
                <w:color w:val="000000"/>
                <w:sz w:val="16"/>
                <w:szCs w:val="16"/>
              </w:rPr>
            </w:pPr>
            <w:r w:rsidRPr="00E51207">
              <w:rPr>
                <w:color w:val="000000"/>
                <w:sz w:val="16"/>
                <w:szCs w:val="16"/>
              </w:rPr>
              <w:t>60,53%</w:t>
            </w:r>
          </w:p>
        </w:tc>
        <w:tc>
          <w:tcPr>
            <w:tcW w:w="274" w:type="pct"/>
            <w:shd w:val="clear" w:color="auto" w:fill="auto"/>
            <w:noWrap/>
            <w:vAlign w:val="center"/>
            <w:hideMark/>
          </w:tcPr>
          <w:p w14:paraId="30803FD1" w14:textId="77777777" w:rsidR="00F53AB2" w:rsidRPr="00E51207" w:rsidRDefault="00F53AB2" w:rsidP="003C3DAA">
            <w:pPr>
              <w:jc w:val="center"/>
              <w:rPr>
                <w:color w:val="000000"/>
                <w:sz w:val="16"/>
                <w:szCs w:val="16"/>
              </w:rPr>
            </w:pPr>
            <w:r w:rsidRPr="00E51207">
              <w:rPr>
                <w:color w:val="000000"/>
                <w:sz w:val="16"/>
                <w:szCs w:val="16"/>
              </w:rPr>
              <w:t>21/38</w:t>
            </w:r>
          </w:p>
        </w:tc>
        <w:tc>
          <w:tcPr>
            <w:tcW w:w="274" w:type="pct"/>
            <w:shd w:val="clear" w:color="auto" w:fill="auto"/>
            <w:noWrap/>
            <w:vAlign w:val="center"/>
            <w:hideMark/>
          </w:tcPr>
          <w:p w14:paraId="431D0746" w14:textId="77777777" w:rsidR="00F53AB2" w:rsidRPr="00E51207" w:rsidRDefault="00F53AB2" w:rsidP="003C3DAA">
            <w:pPr>
              <w:jc w:val="right"/>
              <w:rPr>
                <w:color w:val="000000"/>
                <w:sz w:val="16"/>
                <w:szCs w:val="16"/>
              </w:rPr>
            </w:pPr>
            <w:r w:rsidRPr="00E51207">
              <w:rPr>
                <w:color w:val="000000"/>
                <w:sz w:val="16"/>
                <w:szCs w:val="16"/>
              </w:rPr>
              <w:t>55,26%</w:t>
            </w:r>
          </w:p>
        </w:tc>
        <w:tc>
          <w:tcPr>
            <w:tcW w:w="274" w:type="pct"/>
            <w:shd w:val="clear" w:color="auto" w:fill="F2F2F2" w:themeFill="background1" w:themeFillShade="F2"/>
            <w:noWrap/>
            <w:vAlign w:val="center"/>
            <w:hideMark/>
          </w:tcPr>
          <w:p w14:paraId="4BACD3CF" w14:textId="77777777" w:rsidR="00F53AB2" w:rsidRPr="00E51207" w:rsidRDefault="00F53AB2" w:rsidP="003C3DAA">
            <w:pPr>
              <w:jc w:val="center"/>
              <w:rPr>
                <w:color w:val="000000"/>
                <w:sz w:val="16"/>
                <w:szCs w:val="16"/>
              </w:rPr>
            </w:pPr>
            <w:r w:rsidRPr="00E51207">
              <w:rPr>
                <w:color w:val="000000"/>
                <w:sz w:val="16"/>
                <w:szCs w:val="16"/>
              </w:rPr>
              <w:t>25/38</w:t>
            </w:r>
          </w:p>
        </w:tc>
        <w:tc>
          <w:tcPr>
            <w:tcW w:w="274" w:type="pct"/>
            <w:shd w:val="clear" w:color="auto" w:fill="F2F2F2" w:themeFill="background1" w:themeFillShade="F2"/>
            <w:noWrap/>
            <w:vAlign w:val="center"/>
            <w:hideMark/>
          </w:tcPr>
          <w:p w14:paraId="40467BB3" w14:textId="77777777" w:rsidR="00F53AB2" w:rsidRPr="00E51207" w:rsidRDefault="00F53AB2" w:rsidP="003C3DAA">
            <w:pPr>
              <w:jc w:val="right"/>
              <w:rPr>
                <w:color w:val="000000"/>
                <w:sz w:val="16"/>
                <w:szCs w:val="16"/>
              </w:rPr>
            </w:pPr>
            <w:r w:rsidRPr="00E51207">
              <w:rPr>
                <w:color w:val="000000"/>
                <w:sz w:val="16"/>
                <w:szCs w:val="16"/>
              </w:rPr>
              <w:t>65,79%</w:t>
            </w:r>
          </w:p>
        </w:tc>
      </w:tr>
      <w:tr w:rsidR="00F53AB2" w:rsidRPr="00E51207" w14:paraId="32F22459" w14:textId="77777777" w:rsidTr="002263D5">
        <w:trPr>
          <w:trHeight w:val="290"/>
        </w:trPr>
        <w:tc>
          <w:tcPr>
            <w:tcW w:w="199" w:type="pct"/>
            <w:shd w:val="clear" w:color="auto" w:fill="auto"/>
            <w:noWrap/>
            <w:vAlign w:val="center"/>
            <w:hideMark/>
          </w:tcPr>
          <w:p w14:paraId="1FAA17D1" w14:textId="77777777" w:rsidR="00F53AB2" w:rsidRPr="00E51207" w:rsidRDefault="00F53AB2" w:rsidP="003C3DAA">
            <w:pPr>
              <w:jc w:val="right"/>
              <w:rPr>
                <w:color w:val="000000"/>
                <w:sz w:val="16"/>
                <w:szCs w:val="16"/>
              </w:rPr>
            </w:pPr>
            <w:r w:rsidRPr="00E51207">
              <w:rPr>
                <w:color w:val="000000"/>
                <w:sz w:val="16"/>
                <w:szCs w:val="16"/>
              </w:rPr>
              <w:t>33.</w:t>
            </w:r>
          </w:p>
        </w:tc>
        <w:tc>
          <w:tcPr>
            <w:tcW w:w="2060" w:type="pct"/>
            <w:shd w:val="clear" w:color="auto" w:fill="auto"/>
            <w:noWrap/>
            <w:vAlign w:val="center"/>
            <w:hideMark/>
          </w:tcPr>
          <w:p w14:paraId="5B606DE3" w14:textId="77777777" w:rsidR="00F53AB2" w:rsidRPr="00E51207" w:rsidRDefault="00F53AB2" w:rsidP="003C3DAA">
            <w:pPr>
              <w:rPr>
                <w:color w:val="000000"/>
                <w:sz w:val="16"/>
                <w:szCs w:val="16"/>
              </w:rPr>
            </w:pPr>
            <w:r w:rsidRPr="00E51207">
              <w:rPr>
                <w:color w:val="000000"/>
                <w:sz w:val="16"/>
                <w:szCs w:val="16"/>
              </w:rPr>
              <w:t>Konkurencijsko vijeće BiH</w:t>
            </w:r>
          </w:p>
        </w:tc>
        <w:tc>
          <w:tcPr>
            <w:tcW w:w="274" w:type="pct"/>
            <w:shd w:val="clear" w:color="auto" w:fill="F2F2F2" w:themeFill="background1" w:themeFillShade="F2"/>
            <w:noWrap/>
            <w:vAlign w:val="center"/>
            <w:hideMark/>
          </w:tcPr>
          <w:p w14:paraId="1D6489D0" w14:textId="77777777" w:rsidR="00F53AB2" w:rsidRPr="00E51207" w:rsidRDefault="00F53AB2" w:rsidP="003C3DAA">
            <w:pPr>
              <w:jc w:val="center"/>
              <w:rPr>
                <w:color w:val="000000"/>
                <w:sz w:val="16"/>
                <w:szCs w:val="16"/>
              </w:rPr>
            </w:pPr>
            <w:r w:rsidRPr="00E51207">
              <w:rPr>
                <w:color w:val="000000"/>
                <w:sz w:val="16"/>
                <w:szCs w:val="16"/>
              </w:rPr>
              <w:t>20/38</w:t>
            </w:r>
          </w:p>
        </w:tc>
        <w:tc>
          <w:tcPr>
            <w:tcW w:w="274" w:type="pct"/>
            <w:shd w:val="clear" w:color="auto" w:fill="F2F2F2" w:themeFill="background1" w:themeFillShade="F2"/>
            <w:noWrap/>
            <w:vAlign w:val="center"/>
            <w:hideMark/>
          </w:tcPr>
          <w:p w14:paraId="3507BD11" w14:textId="77777777" w:rsidR="00F53AB2" w:rsidRPr="00E51207" w:rsidRDefault="00F53AB2" w:rsidP="003C3DAA">
            <w:pPr>
              <w:jc w:val="right"/>
              <w:rPr>
                <w:color w:val="000000"/>
                <w:sz w:val="16"/>
                <w:szCs w:val="16"/>
              </w:rPr>
            </w:pPr>
            <w:r w:rsidRPr="00E51207">
              <w:rPr>
                <w:color w:val="000000"/>
                <w:sz w:val="16"/>
                <w:szCs w:val="16"/>
              </w:rPr>
              <w:t>52,63%</w:t>
            </w:r>
          </w:p>
        </w:tc>
        <w:tc>
          <w:tcPr>
            <w:tcW w:w="274" w:type="pct"/>
            <w:shd w:val="clear" w:color="auto" w:fill="auto"/>
            <w:noWrap/>
            <w:vAlign w:val="center"/>
            <w:hideMark/>
          </w:tcPr>
          <w:p w14:paraId="04ECFA1D" w14:textId="77777777" w:rsidR="00F53AB2" w:rsidRPr="00E51207" w:rsidRDefault="00F53AB2" w:rsidP="003C3DAA">
            <w:pPr>
              <w:jc w:val="center"/>
              <w:rPr>
                <w:color w:val="000000"/>
                <w:sz w:val="16"/>
                <w:szCs w:val="16"/>
              </w:rPr>
            </w:pPr>
            <w:r w:rsidRPr="00E51207">
              <w:rPr>
                <w:color w:val="000000"/>
                <w:sz w:val="16"/>
                <w:szCs w:val="16"/>
              </w:rPr>
              <w:t>23/38</w:t>
            </w:r>
          </w:p>
        </w:tc>
        <w:tc>
          <w:tcPr>
            <w:tcW w:w="274" w:type="pct"/>
            <w:shd w:val="clear" w:color="auto" w:fill="auto"/>
            <w:noWrap/>
            <w:vAlign w:val="center"/>
            <w:hideMark/>
          </w:tcPr>
          <w:p w14:paraId="1243E236" w14:textId="77777777" w:rsidR="00F53AB2" w:rsidRPr="00E51207" w:rsidRDefault="00F53AB2" w:rsidP="003C3DAA">
            <w:pPr>
              <w:jc w:val="right"/>
              <w:rPr>
                <w:color w:val="000000"/>
                <w:sz w:val="16"/>
                <w:szCs w:val="16"/>
              </w:rPr>
            </w:pPr>
            <w:r w:rsidRPr="00E51207">
              <w:rPr>
                <w:color w:val="000000"/>
                <w:sz w:val="16"/>
                <w:szCs w:val="16"/>
              </w:rPr>
              <w:t>60,53%</w:t>
            </w:r>
          </w:p>
        </w:tc>
        <w:tc>
          <w:tcPr>
            <w:tcW w:w="274" w:type="pct"/>
            <w:shd w:val="clear" w:color="auto" w:fill="F2F2F2" w:themeFill="background1" w:themeFillShade="F2"/>
            <w:noWrap/>
            <w:vAlign w:val="center"/>
            <w:hideMark/>
          </w:tcPr>
          <w:p w14:paraId="5149E385"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1AAA3E1C"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101D7504" w14:textId="77777777" w:rsidR="00F53AB2" w:rsidRPr="00E51207" w:rsidRDefault="00F53AB2" w:rsidP="003C3DAA">
            <w:pPr>
              <w:jc w:val="center"/>
              <w:rPr>
                <w:color w:val="000000"/>
                <w:sz w:val="16"/>
                <w:szCs w:val="16"/>
              </w:rPr>
            </w:pPr>
            <w:r w:rsidRPr="00E51207">
              <w:rPr>
                <w:color w:val="000000"/>
                <w:sz w:val="16"/>
                <w:szCs w:val="16"/>
              </w:rPr>
              <w:t>15/38</w:t>
            </w:r>
          </w:p>
        </w:tc>
        <w:tc>
          <w:tcPr>
            <w:tcW w:w="274" w:type="pct"/>
            <w:shd w:val="clear" w:color="auto" w:fill="auto"/>
            <w:noWrap/>
            <w:vAlign w:val="center"/>
            <w:hideMark/>
          </w:tcPr>
          <w:p w14:paraId="551EE0CF" w14:textId="77777777" w:rsidR="00F53AB2" w:rsidRPr="00E51207" w:rsidRDefault="00F53AB2" w:rsidP="003C3DAA">
            <w:pPr>
              <w:jc w:val="right"/>
              <w:rPr>
                <w:color w:val="000000"/>
                <w:sz w:val="16"/>
                <w:szCs w:val="16"/>
              </w:rPr>
            </w:pPr>
            <w:r w:rsidRPr="00E51207">
              <w:rPr>
                <w:color w:val="000000"/>
                <w:sz w:val="16"/>
                <w:szCs w:val="16"/>
              </w:rPr>
              <w:t>39,47%</w:t>
            </w:r>
          </w:p>
        </w:tc>
        <w:tc>
          <w:tcPr>
            <w:tcW w:w="274" w:type="pct"/>
            <w:shd w:val="clear" w:color="auto" w:fill="F2F2F2" w:themeFill="background1" w:themeFillShade="F2"/>
            <w:noWrap/>
            <w:vAlign w:val="center"/>
            <w:hideMark/>
          </w:tcPr>
          <w:p w14:paraId="1CA3548C" w14:textId="77777777" w:rsidR="00F53AB2" w:rsidRPr="00E51207" w:rsidRDefault="00F53AB2" w:rsidP="003C3DAA">
            <w:pPr>
              <w:jc w:val="center"/>
              <w:rPr>
                <w:color w:val="000000"/>
                <w:sz w:val="16"/>
                <w:szCs w:val="16"/>
              </w:rPr>
            </w:pPr>
            <w:r w:rsidRPr="00E51207">
              <w:rPr>
                <w:color w:val="000000"/>
                <w:sz w:val="16"/>
                <w:szCs w:val="16"/>
              </w:rPr>
              <w:t>25/38</w:t>
            </w:r>
          </w:p>
        </w:tc>
        <w:tc>
          <w:tcPr>
            <w:tcW w:w="274" w:type="pct"/>
            <w:shd w:val="clear" w:color="auto" w:fill="F2F2F2" w:themeFill="background1" w:themeFillShade="F2"/>
            <w:noWrap/>
            <w:vAlign w:val="center"/>
            <w:hideMark/>
          </w:tcPr>
          <w:p w14:paraId="40EF2F30" w14:textId="77777777" w:rsidR="00F53AB2" w:rsidRPr="00E51207" w:rsidRDefault="00F53AB2" w:rsidP="003C3DAA">
            <w:pPr>
              <w:jc w:val="right"/>
              <w:rPr>
                <w:color w:val="000000"/>
                <w:sz w:val="16"/>
                <w:szCs w:val="16"/>
              </w:rPr>
            </w:pPr>
            <w:r w:rsidRPr="00E51207">
              <w:rPr>
                <w:color w:val="000000"/>
                <w:sz w:val="16"/>
                <w:szCs w:val="16"/>
              </w:rPr>
              <w:t>65,79%</w:t>
            </w:r>
          </w:p>
        </w:tc>
      </w:tr>
      <w:tr w:rsidR="00F53AB2" w:rsidRPr="00E51207" w14:paraId="6580CC36" w14:textId="77777777" w:rsidTr="002263D5">
        <w:trPr>
          <w:trHeight w:val="290"/>
        </w:trPr>
        <w:tc>
          <w:tcPr>
            <w:tcW w:w="199" w:type="pct"/>
            <w:shd w:val="clear" w:color="auto" w:fill="auto"/>
            <w:noWrap/>
            <w:vAlign w:val="center"/>
            <w:hideMark/>
          </w:tcPr>
          <w:p w14:paraId="0E6930FE" w14:textId="77777777" w:rsidR="00F53AB2" w:rsidRPr="00E51207" w:rsidRDefault="00F53AB2" w:rsidP="003C3DAA">
            <w:pPr>
              <w:jc w:val="right"/>
              <w:rPr>
                <w:color w:val="000000"/>
                <w:sz w:val="16"/>
                <w:szCs w:val="16"/>
              </w:rPr>
            </w:pPr>
            <w:r w:rsidRPr="00E51207">
              <w:rPr>
                <w:color w:val="000000"/>
                <w:sz w:val="16"/>
                <w:szCs w:val="16"/>
              </w:rPr>
              <w:t>34.</w:t>
            </w:r>
          </w:p>
        </w:tc>
        <w:tc>
          <w:tcPr>
            <w:tcW w:w="2060" w:type="pct"/>
            <w:shd w:val="clear" w:color="auto" w:fill="auto"/>
            <w:noWrap/>
            <w:vAlign w:val="center"/>
            <w:hideMark/>
          </w:tcPr>
          <w:p w14:paraId="74893EC3" w14:textId="77777777" w:rsidR="00F53AB2" w:rsidRPr="00E51207" w:rsidRDefault="00F53AB2" w:rsidP="003C3DAA">
            <w:pPr>
              <w:rPr>
                <w:color w:val="000000"/>
                <w:sz w:val="16"/>
                <w:szCs w:val="16"/>
              </w:rPr>
            </w:pPr>
            <w:r w:rsidRPr="00E51207">
              <w:rPr>
                <w:color w:val="000000"/>
                <w:sz w:val="16"/>
                <w:szCs w:val="16"/>
              </w:rPr>
              <w:t>Visoko sudsko i tužilačko vijeće BiH</w:t>
            </w:r>
          </w:p>
        </w:tc>
        <w:tc>
          <w:tcPr>
            <w:tcW w:w="274" w:type="pct"/>
            <w:shd w:val="clear" w:color="auto" w:fill="F2F2F2" w:themeFill="background1" w:themeFillShade="F2"/>
            <w:noWrap/>
            <w:vAlign w:val="center"/>
            <w:hideMark/>
          </w:tcPr>
          <w:p w14:paraId="5039AB69"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4F71BCA0"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595E2C07" w14:textId="77777777" w:rsidR="00F53AB2" w:rsidRPr="00E51207" w:rsidRDefault="00F53AB2" w:rsidP="003C3DAA">
            <w:pPr>
              <w:jc w:val="center"/>
              <w:rPr>
                <w:color w:val="000000"/>
                <w:sz w:val="16"/>
                <w:szCs w:val="16"/>
              </w:rPr>
            </w:pPr>
            <w:r w:rsidRPr="00E51207">
              <w:rPr>
                <w:color w:val="000000"/>
                <w:sz w:val="16"/>
                <w:szCs w:val="16"/>
              </w:rPr>
              <w:t>27/38</w:t>
            </w:r>
          </w:p>
        </w:tc>
        <w:tc>
          <w:tcPr>
            <w:tcW w:w="274" w:type="pct"/>
            <w:shd w:val="clear" w:color="auto" w:fill="auto"/>
            <w:noWrap/>
            <w:vAlign w:val="center"/>
            <w:hideMark/>
          </w:tcPr>
          <w:p w14:paraId="0CCBE396" w14:textId="77777777" w:rsidR="00F53AB2" w:rsidRPr="00E51207" w:rsidRDefault="00F53AB2" w:rsidP="003C3DAA">
            <w:pPr>
              <w:jc w:val="right"/>
              <w:rPr>
                <w:color w:val="000000"/>
                <w:sz w:val="16"/>
                <w:szCs w:val="16"/>
              </w:rPr>
            </w:pPr>
            <w:r w:rsidRPr="00E51207">
              <w:rPr>
                <w:color w:val="000000"/>
                <w:sz w:val="16"/>
                <w:szCs w:val="16"/>
              </w:rPr>
              <w:t>71,05%</w:t>
            </w:r>
          </w:p>
        </w:tc>
        <w:tc>
          <w:tcPr>
            <w:tcW w:w="274" w:type="pct"/>
            <w:shd w:val="clear" w:color="auto" w:fill="F2F2F2" w:themeFill="background1" w:themeFillShade="F2"/>
            <w:noWrap/>
            <w:vAlign w:val="center"/>
            <w:hideMark/>
          </w:tcPr>
          <w:p w14:paraId="04E69935" w14:textId="77777777" w:rsidR="00F53AB2" w:rsidRPr="00E51207" w:rsidRDefault="00F53AB2" w:rsidP="003C3DAA">
            <w:pPr>
              <w:jc w:val="center"/>
              <w:rPr>
                <w:color w:val="000000"/>
                <w:sz w:val="16"/>
                <w:szCs w:val="16"/>
              </w:rPr>
            </w:pPr>
            <w:r w:rsidRPr="00E51207">
              <w:rPr>
                <w:color w:val="000000"/>
                <w:sz w:val="16"/>
                <w:szCs w:val="16"/>
              </w:rPr>
              <w:t>27/38</w:t>
            </w:r>
          </w:p>
        </w:tc>
        <w:tc>
          <w:tcPr>
            <w:tcW w:w="274" w:type="pct"/>
            <w:shd w:val="clear" w:color="auto" w:fill="F2F2F2" w:themeFill="background1" w:themeFillShade="F2"/>
            <w:noWrap/>
            <w:vAlign w:val="center"/>
            <w:hideMark/>
          </w:tcPr>
          <w:p w14:paraId="1D904412" w14:textId="77777777" w:rsidR="00F53AB2" w:rsidRPr="00E51207" w:rsidRDefault="00F53AB2" w:rsidP="003C3DAA">
            <w:pPr>
              <w:jc w:val="right"/>
              <w:rPr>
                <w:color w:val="000000"/>
                <w:sz w:val="16"/>
                <w:szCs w:val="16"/>
              </w:rPr>
            </w:pPr>
            <w:r w:rsidRPr="00E51207">
              <w:rPr>
                <w:color w:val="000000"/>
                <w:sz w:val="16"/>
                <w:szCs w:val="16"/>
              </w:rPr>
              <w:t>71,05%</w:t>
            </w:r>
          </w:p>
        </w:tc>
        <w:tc>
          <w:tcPr>
            <w:tcW w:w="274" w:type="pct"/>
            <w:shd w:val="clear" w:color="auto" w:fill="auto"/>
            <w:noWrap/>
            <w:vAlign w:val="center"/>
            <w:hideMark/>
          </w:tcPr>
          <w:p w14:paraId="42903AC2"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322B049C"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375CB03C" w14:textId="77777777" w:rsidR="00F53AB2" w:rsidRPr="00E51207" w:rsidRDefault="00F53AB2" w:rsidP="003C3DAA">
            <w:pPr>
              <w:jc w:val="center"/>
              <w:rPr>
                <w:color w:val="000000"/>
                <w:sz w:val="16"/>
                <w:szCs w:val="16"/>
              </w:rPr>
            </w:pPr>
            <w:r w:rsidRPr="00E51207">
              <w:rPr>
                <w:color w:val="000000"/>
                <w:sz w:val="16"/>
                <w:szCs w:val="16"/>
              </w:rPr>
              <w:t>25/38</w:t>
            </w:r>
          </w:p>
        </w:tc>
        <w:tc>
          <w:tcPr>
            <w:tcW w:w="274" w:type="pct"/>
            <w:shd w:val="clear" w:color="auto" w:fill="F2F2F2" w:themeFill="background1" w:themeFillShade="F2"/>
            <w:noWrap/>
            <w:vAlign w:val="center"/>
            <w:hideMark/>
          </w:tcPr>
          <w:p w14:paraId="79E1C649" w14:textId="77777777" w:rsidR="00F53AB2" w:rsidRPr="00E51207" w:rsidRDefault="00F53AB2" w:rsidP="003C3DAA">
            <w:pPr>
              <w:jc w:val="right"/>
              <w:rPr>
                <w:color w:val="000000"/>
                <w:sz w:val="16"/>
                <w:szCs w:val="16"/>
              </w:rPr>
            </w:pPr>
            <w:r w:rsidRPr="00E51207">
              <w:rPr>
                <w:color w:val="000000"/>
                <w:sz w:val="16"/>
                <w:szCs w:val="16"/>
              </w:rPr>
              <w:t>65,79%</w:t>
            </w:r>
          </w:p>
        </w:tc>
      </w:tr>
      <w:tr w:rsidR="00F53AB2" w:rsidRPr="00E51207" w14:paraId="1AB24210" w14:textId="77777777" w:rsidTr="002263D5">
        <w:trPr>
          <w:trHeight w:val="290"/>
        </w:trPr>
        <w:tc>
          <w:tcPr>
            <w:tcW w:w="199" w:type="pct"/>
            <w:shd w:val="clear" w:color="auto" w:fill="auto"/>
            <w:noWrap/>
            <w:vAlign w:val="center"/>
            <w:hideMark/>
          </w:tcPr>
          <w:p w14:paraId="192730D3" w14:textId="77777777" w:rsidR="00F53AB2" w:rsidRPr="00E51207" w:rsidRDefault="00F53AB2" w:rsidP="003C3DAA">
            <w:pPr>
              <w:jc w:val="right"/>
              <w:rPr>
                <w:color w:val="000000"/>
                <w:sz w:val="16"/>
                <w:szCs w:val="16"/>
              </w:rPr>
            </w:pPr>
            <w:r w:rsidRPr="00E51207">
              <w:rPr>
                <w:color w:val="000000"/>
                <w:sz w:val="16"/>
                <w:szCs w:val="16"/>
              </w:rPr>
              <w:t>35.</w:t>
            </w:r>
          </w:p>
        </w:tc>
        <w:tc>
          <w:tcPr>
            <w:tcW w:w="2060" w:type="pct"/>
            <w:shd w:val="clear" w:color="auto" w:fill="auto"/>
            <w:noWrap/>
            <w:vAlign w:val="center"/>
            <w:hideMark/>
          </w:tcPr>
          <w:p w14:paraId="0F88D623" w14:textId="77777777" w:rsidR="00F53AB2" w:rsidRPr="00E51207" w:rsidRDefault="00F53AB2" w:rsidP="003C3DAA">
            <w:pPr>
              <w:rPr>
                <w:color w:val="000000"/>
                <w:sz w:val="16"/>
                <w:szCs w:val="16"/>
              </w:rPr>
            </w:pPr>
            <w:r w:rsidRPr="00E51207">
              <w:rPr>
                <w:color w:val="000000"/>
                <w:sz w:val="16"/>
                <w:szCs w:val="16"/>
              </w:rPr>
              <w:t>Agencija za unaprjeđenje stranih investicija u BiH</w:t>
            </w:r>
          </w:p>
        </w:tc>
        <w:tc>
          <w:tcPr>
            <w:tcW w:w="274" w:type="pct"/>
            <w:shd w:val="clear" w:color="auto" w:fill="F2F2F2" w:themeFill="background1" w:themeFillShade="F2"/>
            <w:noWrap/>
            <w:vAlign w:val="center"/>
            <w:hideMark/>
          </w:tcPr>
          <w:p w14:paraId="0F8BBB22" w14:textId="77777777" w:rsidR="00F53AB2" w:rsidRPr="00E51207" w:rsidRDefault="00F53AB2" w:rsidP="003C3DAA">
            <w:pPr>
              <w:jc w:val="center"/>
              <w:rPr>
                <w:color w:val="000000"/>
                <w:sz w:val="16"/>
                <w:szCs w:val="16"/>
              </w:rPr>
            </w:pPr>
            <w:r w:rsidRPr="00E51207">
              <w:rPr>
                <w:color w:val="000000"/>
                <w:sz w:val="16"/>
                <w:szCs w:val="16"/>
              </w:rPr>
              <w:t>22/38</w:t>
            </w:r>
          </w:p>
        </w:tc>
        <w:tc>
          <w:tcPr>
            <w:tcW w:w="274" w:type="pct"/>
            <w:shd w:val="clear" w:color="auto" w:fill="F2F2F2" w:themeFill="background1" w:themeFillShade="F2"/>
            <w:noWrap/>
            <w:vAlign w:val="center"/>
            <w:hideMark/>
          </w:tcPr>
          <w:p w14:paraId="7E96C696" w14:textId="77777777" w:rsidR="00F53AB2" w:rsidRPr="00E51207" w:rsidRDefault="00F53AB2" w:rsidP="003C3DAA">
            <w:pPr>
              <w:jc w:val="right"/>
              <w:rPr>
                <w:color w:val="000000"/>
                <w:sz w:val="16"/>
                <w:szCs w:val="16"/>
              </w:rPr>
            </w:pPr>
            <w:r w:rsidRPr="00E51207">
              <w:rPr>
                <w:color w:val="000000"/>
                <w:sz w:val="16"/>
                <w:szCs w:val="16"/>
              </w:rPr>
              <w:t>57,89%</w:t>
            </w:r>
          </w:p>
        </w:tc>
        <w:tc>
          <w:tcPr>
            <w:tcW w:w="274" w:type="pct"/>
            <w:shd w:val="clear" w:color="auto" w:fill="auto"/>
            <w:noWrap/>
            <w:vAlign w:val="center"/>
            <w:hideMark/>
          </w:tcPr>
          <w:p w14:paraId="794D7461" w14:textId="77777777" w:rsidR="00F53AB2" w:rsidRPr="00E51207" w:rsidRDefault="00F53AB2" w:rsidP="003C3DAA">
            <w:pPr>
              <w:jc w:val="center"/>
              <w:rPr>
                <w:color w:val="000000"/>
                <w:sz w:val="16"/>
                <w:szCs w:val="16"/>
              </w:rPr>
            </w:pPr>
            <w:r w:rsidRPr="00E51207">
              <w:rPr>
                <w:color w:val="000000"/>
                <w:sz w:val="16"/>
                <w:szCs w:val="16"/>
              </w:rPr>
              <w:t>21/38</w:t>
            </w:r>
          </w:p>
        </w:tc>
        <w:tc>
          <w:tcPr>
            <w:tcW w:w="274" w:type="pct"/>
            <w:shd w:val="clear" w:color="auto" w:fill="auto"/>
            <w:noWrap/>
            <w:vAlign w:val="center"/>
            <w:hideMark/>
          </w:tcPr>
          <w:p w14:paraId="2B76B23D" w14:textId="77777777" w:rsidR="00F53AB2" w:rsidRPr="00E51207" w:rsidRDefault="00F53AB2" w:rsidP="003C3DAA">
            <w:pPr>
              <w:jc w:val="right"/>
              <w:rPr>
                <w:color w:val="000000"/>
                <w:sz w:val="16"/>
                <w:szCs w:val="16"/>
              </w:rPr>
            </w:pPr>
            <w:r w:rsidRPr="00E51207">
              <w:rPr>
                <w:color w:val="000000"/>
                <w:sz w:val="16"/>
                <w:szCs w:val="16"/>
              </w:rPr>
              <w:t>55,26%</w:t>
            </w:r>
          </w:p>
        </w:tc>
        <w:tc>
          <w:tcPr>
            <w:tcW w:w="274" w:type="pct"/>
            <w:shd w:val="clear" w:color="auto" w:fill="F2F2F2" w:themeFill="background1" w:themeFillShade="F2"/>
            <w:noWrap/>
            <w:vAlign w:val="center"/>
            <w:hideMark/>
          </w:tcPr>
          <w:p w14:paraId="03A09186" w14:textId="77777777" w:rsidR="00F53AB2" w:rsidRPr="00E51207" w:rsidRDefault="00F53AB2" w:rsidP="003C3DAA">
            <w:pPr>
              <w:jc w:val="center"/>
              <w:rPr>
                <w:color w:val="000000"/>
                <w:sz w:val="16"/>
                <w:szCs w:val="16"/>
              </w:rPr>
            </w:pPr>
            <w:r w:rsidRPr="00E51207">
              <w:rPr>
                <w:color w:val="000000"/>
                <w:sz w:val="16"/>
                <w:szCs w:val="16"/>
              </w:rPr>
              <w:t>22/38</w:t>
            </w:r>
          </w:p>
        </w:tc>
        <w:tc>
          <w:tcPr>
            <w:tcW w:w="274" w:type="pct"/>
            <w:shd w:val="clear" w:color="auto" w:fill="F2F2F2" w:themeFill="background1" w:themeFillShade="F2"/>
            <w:noWrap/>
            <w:vAlign w:val="center"/>
            <w:hideMark/>
          </w:tcPr>
          <w:p w14:paraId="41FB8078" w14:textId="77777777" w:rsidR="00F53AB2" w:rsidRPr="00E51207" w:rsidRDefault="00F53AB2" w:rsidP="003C3DAA">
            <w:pPr>
              <w:jc w:val="right"/>
              <w:rPr>
                <w:color w:val="000000"/>
                <w:sz w:val="16"/>
                <w:szCs w:val="16"/>
              </w:rPr>
            </w:pPr>
            <w:r w:rsidRPr="00E51207">
              <w:rPr>
                <w:color w:val="000000"/>
                <w:sz w:val="16"/>
                <w:szCs w:val="16"/>
              </w:rPr>
              <w:t>57,89%</w:t>
            </w:r>
          </w:p>
        </w:tc>
        <w:tc>
          <w:tcPr>
            <w:tcW w:w="274" w:type="pct"/>
            <w:shd w:val="clear" w:color="auto" w:fill="auto"/>
            <w:noWrap/>
            <w:vAlign w:val="center"/>
            <w:hideMark/>
          </w:tcPr>
          <w:p w14:paraId="687C5DAC" w14:textId="77777777" w:rsidR="00F53AB2" w:rsidRPr="00E51207" w:rsidRDefault="00F53AB2" w:rsidP="003C3DAA">
            <w:pPr>
              <w:jc w:val="center"/>
              <w:rPr>
                <w:color w:val="000000"/>
                <w:sz w:val="16"/>
                <w:szCs w:val="16"/>
              </w:rPr>
            </w:pPr>
            <w:r w:rsidRPr="00E51207">
              <w:rPr>
                <w:color w:val="000000"/>
                <w:sz w:val="16"/>
                <w:szCs w:val="16"/>
              </w:rPr>
              <w:t>26/38</w:t>
            </w:r>
          </w:p>
        </w:tc>
        <w:tc>
          <w:tcPr>
            <w:tcW w:w="274" w:type="pct"/>
            <w:shd w:val="clear" w:color="auto" w:fill="auto"/>
            <w:noWrap/>
            <w:vAlign w:val="center"/>
            <w:hideMark/>
          </w:tcPr>
          <w:p w14:paraId="062286C6" w14:textId="77777777" w:rsidR="00F53AB2" w:rsidRPr="00E51207" w:rsidRDefault="00F53AB2" w:rsidP="003C3DAA">
            <w:pPr>
              <w:jc w:val="right"/>
              <w:rPr>
                <w:color w:val="000000"/>
                <w:sz w:val="16"/>
                <w:szCs w:val="16"/>
              </w:rPr>
            </w:pPr>
            <w:r w:rsidRPr="00E51207">
              <w:rPr>
                <w:color w:val="000000"/>
                <w:sz w:val="16"/>
                <w:szCs w:val="16"/>
              </w:rPr>
              <w:t>68,42%</w:t>
            </w:r>
          </w:p>
        </w:tc>
        <w:tc>
          <w:tcPr>
            <w:tcW w:w="274" w:type="pct"/>
            <w:shd w:val="clear" w:color="auto" w:fill="F2F2F2" w:themeFill="background1" w:themeFillShade="F2"/>
            <w:noWrap/>
            <w:vAlign w:val="center"/>
            <w:hideMark/>
          </w:tcPr>
          <w:p w14:paraId="759913FF" w14:textId="77777777" w:rsidR="00F53AB2" w:rsidRPr="00E51207" w:rsidRDefault="00F53AB2" w:rsidP="003C3DAA">
            <w:pPr>
              <w:jc w:val="center"/>
              <w:rPr>
                <w:color w:val="000000"/>
                <w:sz w:val="16"/>
                <w:szCs w:val="16"/>
              </w:rPr>
            </w:pPr>
            <w:r w:rsidRPr="00E51207">
              <w:rPr>
                <w:color w:val="000000"/>
                <w:sz w:val="16"/>
                <w:szCs w:val="16"/>
              </w:rPr>
              <w:t>26/38</w:t>
            </w:r>
          </w:p>
        </w:tc>
        <w:tc>
          <w:tcPr>
            <w:tcW w:w="274" w:type="pct"/>
            <w:shd w:val="clear" w:color="auto" w:fill="F2F2F2" w:themeFill="background1" w:themeFillShade="F2"/>
            <w:noWrap/>
            <w:vAlign w:val="center"/>
            <w:hideMark/>
          </w:tcPr>
          <w:p w14:paraId="0CA11513" w14:textId="77777777" w:rsidR="00F53AB2" w:rsidRPr="00E51207" w:rsidRDefault="00F53AB2" w:rsidP="003C3DAA">
            <w:pPr>
              <w:jc w:val="right"/>
              <w:rPr>
                <w:color w:val="000000"/>
                <w:sz w:val="16"/>
                <w:szCs w:val="16"/>
              </w:rPr>
            </w:pPr>
            <w:r w:rsidRPr="00E51207">
              <w:rPr>
                <w:color w:val="000000"/>
                <w:sz w:val="16"/>
                <w:szCs w:val="16"/>
              </w:rPr>
              <w:t>68,42%</w:t>
            </w:r>
          </w:p>
        </w:tc>
      </w:tr>
      <w:tr w:rsidR="00F53AB2" w:rsidRPr="00E51207" w14:paraId="5AF45DB2" w14:textId="77777777" w:rsidTr="002263D5">
        <w:trPr>
          <w:trHeight w:val="290"/>
        </w:trPr>
        <w:tc>
          <w:tcPr>
            <w:tcW w:w="199" w:type="pct"/>
            <w:shd w:val="clear" w:color="auto" w:fill="auto"/>
            <w:noWrap/>
            <w:vAlign w:val="center"/>
            <w:hideMark/>
          </w:tcPr>
          <w:p w14:paraId="439D1037" w14:textId="77777777" w:rsidR="00F53AB2" w:rsidRPr="00E51207" w:rsidRDefault="00F53AB2" w:rsidP="003C3DAA">
            <w:pPr>
              <w:jc w:val="right"/>
              <w:rPr>
                <w:color w:val="000000"/>
                <w:sz w:val="16"/>
                <w:szCs w:val="16"/>
              </w:rPr>
            </w:pPr>
            <w:r w:rsidRPr="00E51207">
              <w:rPr>
                <w:color w:val="000000"/>
                <w:sz w:val="16"/>
                <w:szCs w:val="16"/>
              </w:rPr>
              <w:t>36.</w:t>
            </w:r>
          </w:p>
        </w:tc>
        <w:tc>
          <w:tcPr>
            <w:tcW w:w="2060" w:type="pct"/>
            <w:shd w:val="clear" w:color="auto" w:fill="auto"/>
            <w:noWrap/>
            <w:vAlign w:val="center"/>
            <w:hideMark/>
          </w:tcPr>
          <w:p w14:paraId="7B83F4DB" w14:textId="77777777" w:rsidR="00F53AB2" w:rsidRPr="00E51207" w:rsidRDefault="00F53AB2" w:rsidP="003C3DAA">
            <w:pPr>
              <w:rPr>
                <w:color w:val="000000"/>
                <w:sz w:val="16"/>
                <w:szCs w:val="16"/>
              </w:rPr>
            </w:pPr>
            <w:r w:rsidRPr="00E51207">
              <w:rPr>
                <w:color w:val="000000"/>
                <w:sz w:val="16"/>
                <w:szCs w:val="16"/>
              </w:rPr>
              <w:t>Tužilaštvo BiH</w:t>
            </w:r>
          </w:p>
        </w:tc>
        <w:tc>
          <w:tcPr>
            <w:tcW w:w="274" w:type="pct"/>
            <w:shd w:val="clear" w:color="auto" w:fill="F2F2F2" w:themeFill="background1" w:themeFillShade="F2"/>
            <w:noWrap/>
            <w:vAlign w:val="center"/>
            <w:hideMark/>
          </w:tcPr>
          <w:p w14:paraId="10555E76"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361593BC"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74D155FB"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1DDC715A"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2CF54437" w14:textId="77777777" w:rsidR="00F53AB2" w:rsidRPr="00E51207" w:rsidRDefault="00F53AB2" w:rsidP="003C3DAA">
            <w:pPr>
              <w:jc w:val="center"/>
              <w:rPr>
                <w:color w:val="000000"/>
                <w:sz w:val="16"/>
                <w:szCs w:val="16"/>
              </w:rPr>
            </w:pPr>
            <w:r w:rsidRPr="00E51207">
              <w:rPr>
                <w:color w:val="000000"/>
                <w:sz w:val="16"/>
                <w:szCs w:val="16"/>
              </w:rPr>
              <w:t>13/38</w:t>
            </w:r>
          </w:p>
        </w:tc>
        <w:tc>
          <w:tcPr>
            <w:tcW w:w="274" w:type="pct"/>
            <w:shd w:val="clear" w:color="auto" w:fill="F2F2F2" w:themeFill="background1" w:themeFillShade="F2"/>
            <w:noWrap/>
            <w:vAlign w:val="center"/>
            <w:hideMark/>
          </w:tcPr>
          <w:p w14:paraId="5846C680" w14:textId="77777777" w:rsidR="00F53AB2" w:rsidRPr="00E51207" w:rsidRDefault="00F53AB2" w:rsidP="003C3DAA">
            <w:pPr>
              <w:jc w:val="right"/>
              <w:rPr>
                <w:color w:val="000000"/>
                <w:sz w:val="16"/>
                <w:szCs w:val="16"/>
              </w:rPr>
            </w:pPr>
            <w:r w:rsidRPr="00E51207">
              <w:rPr>
                <w:color w:val="000000"/>
                <w:sz w:val="16"/>
                <w:szCs w:val="16"/>
              </w:rPr>
              <w:t>34,21%</w:t>
            </w:r>
          </w:p>
        </w:tc>
        <w:tc>
          <w:tcPr>
            <w:tcW w:w="274" w:type="pct"/>
            <w:shd w:val="clear" w:color="auto" w:fill="auto"/>
            <w:noWrap/>
            <w:vAlign w:val="center"/>
            <w:hideMark/>
          </w:tcPr>
          <w:p w14:paraId="2E39F225" w14:textId="77777777" w:rsidR="00F53AB2" w:rsidRPr="00E51207" w:rsidRDefault="00F53AB2" w:rsidP="003C3DAA">
            <w:pPr>
              <w:jc w:val="center"/>
              <w:rPr>
                <w:color w:val="000000"/>
                <w:sz w:val="16"/>
                <w:szCs w:val="16"/>
              </w:rPr>
            </w:pPr>
            <w:r w:rsidRPr="00E51207">
              <w:rPr>
                <w:color w:val="000000"/>
                <w:sz w:val="16"/>
                <w:szCs w:val="16"/>
              </w:rPr>
              <w:t>22/38</w:t>
            </w:r>
          </w:p>
        </w:tc>
        <w:tc>
          <w:tcPr>
            <w:tcW w:w="274" w:type="pct"/>
            <w:shd w:val="clear" w:color="auto" w:fill="auto"/>
            <w:noWrap/>
            <w:vAlign w:val="center"/>
            <w:hideMark/>
          </w:tcPr>
          <w:p w14:paraId="000B4086" w14:textId="77777777" w:rsidR="00F53AB2" w:rsidRPr="00E51207" w:rsidRDefault="00F53AB2" w:rsidP="003C3DAA">
            <w:pPr>
              <w:jc w:val="right"/>
              <w:rPr>
                <w:color w:val="000000"/>
                <w:sz w:val="16"/>
                <w:szCs w:val="16"/>
              </w:rPr>
            </w:pPr>
            <w:r w:rsidRPr="00E51207">
              <w:rPr>
                <w:color w:val="000000"/>
                <w:sz w:val="16"/>
                <w:szCs w:val="16"/>
              </w:rPr>
              <w:t>57,89%</w:t>
            </w:r>
          </w:p>
        </w:tc>
        <w:tc>
          <w:tcPr>
            <w:tcW w:w="274" w:type="pct"/>
            <w:shd w:val="clear" w:color="auto" w:fill="F2F2F2" w:themeFill="background1" w:themeFillShade="F2"/>
            <w:noWrap/>
            <w:vAlign w:val="center"/>
            <w:hideMark/>
          </w:tcPr>
          <w:p w14:paraId="4AB7084E" w14:textId="77777777" w:rsidR="00F53AB2" w:rsidRPr="00E51207" w:rsidRDefault="00F53AB2" w:rsidP="003C3DAA">
            <w:pPr>
              <w:jc w:val="center"/>
              <w:rPr>
                <w:color w:val="000000"/>
                <w:sz w:val="16"/>
                <w:szCs w:val="16"/>
              </w:rPr>
            </w:pPr>
            <w:r w:rsidRPr="00E51207">
              <w:rPr>
                <w:color w:val="000000"/>
                <w:sz w:val="16"/>
                <w:szCs w:val="16"/>
              </w:rPr>
              <w:t>26/38</w:t>
            </w:r>
          </w:p>
        </w:tc>
        <w:tc>
          <w:tcPr>
            <w:tcW w:w="274" w:type="pct"/>
            <w:shd w:val="clear" w:color="auto" w:fill="F2F2F2" w:themeFill="background1" w:themeFillShade="F2"/>
            <w:noWrap/>
            <w:vAlign w:val="center"/>
            <w:hideMark/>
          </w:tcPr>
          <w:p w14:paraId="6AC677F2" w14:textId="77777777" w:rsidR="00F53AB2" w:rsidRPr="00E51207" w:rsidRDefault="00F53AB2" w:rsidP="003C3DAA">
            <w:pPr>
              <w:jc w:val="right"/>
              <w:rPr>
                <w:color w:val="000000"/>
                <w:sz w:val="16"/>
                <w:szCs w:val="16"/>
              </w:rPr>
            </w:pPr>
            <w:r w:rsidRPr="00E51207">
              <w:rPr>
                <w:color w:val="000000"/>
                <w:sz w:val="16"/>
                <w:szCs w:val="16"/>
              </w:rPr>
              <w:t>68,42%</w:t>
            </w:r>
          </w:p>
        </w:tc>
      </w:tr>
      <w:tr w:rsidR="00F53AB2" w:rsidRPr="00E51207" w14:paraId="2A0674A7" w14:textId="77777777" w:rsidTr="002263D5">
        <w:trPr>
          <w:trHeight w:val="290"/>
        </w:trPr>
        <w:tc>
          <w:tcPr>
            <w:tcW w:w="199" w:type="pct"/>
            <w:shd w:val="clear" w:color="auto" w:fill="auto"/>
            <w:noWrap/>
            <w:vAlign w:val="center"/>
            <w:hideMark/>
          </w:tcPr>
          <w:p w14:paraId="6BBB6D52" w14:textId="77777777" w:rsidR="00F53AB2" w:rsidRPr="00E51207" w:rsidRDefault="00F53AB2" w:rsidP="003C3DAA">
            <w:pPr>
              <w:jc w:val="right"/>
              <w:rPr>
                <w:color w:val="000000"/>
                <w:sz w:val="16"/>
                <w:szCs w:val="16"/>
              </w:rPr>
            </w:pPr>
            <w:r w:rsidRPr="00E51207">
              <w:rPr>
                <w:color w:val="000000"/>
                <w:sz w:val="16"/>
                <w:szCs w:val="16"/>
              </w:rPr>
              <w:t>37.</w:t>
            </w:r>
          </w:p>
        </w:tc>
        <w:tc>
          <w:tcPr>
            <w:tcW w:w="2060" w:type="pct"/>
            <w:shd w:val="clear" w:color="auto" w:fill="auto"/>
            <w:noWrap/>
            <w:vAlign w:val="center"/>
            <w:hideMark/>
          </w:tcPr>
          <w:p w14:paraId="105DE611" w14:textId="77777777" w:rsidR="00F53AB2" w:rsidRPr="00E51207" w:rsidRDefault="00F53AB2" w:rsidP="003C3DAA">
            <w:pPr>
              <w:rPr>
                <w:color w:val="000000"/>
                <w:sz w:val="16"/>
                <w:szCs w:val="16"/>
              </w:rPr>
            </w:pPr>
            <w:r w:rsidRPr="00E51207">
              <w:rPr>
                <w:color w:val="000000"/>
                <w:sz w:val="16"/>
                <w:szCs w:val="16"/>
              </w:rPr>
              <w:t>Ured za harmonizaciju i koordinaciju sistema plaćanja u poljoprivredi, ishrani i ruralnom razvoju BiH</w:t>
            </w:r>
          </w:p>
        </w:tc>
        <w:tc>
          <w:tcPr>
            <w:tcW w:w="274" w:type="pct"/>
            <w:shd w:val="clear" w:color="auto" w:fill="F2F2F2" w:themeFill="background1" w:themeFillShade="F2"/>
            <w:noWrap/>
            <w:vAlign w:val="center"/>
            <w:hideMark/>
          </w:tcPr>
          <w:p w14:paraId="7D4FD6A4" w14:textId="77777777" w:rsidR="00F53AB2" w:rsidRPr="00E51207" w:rsidRDefault="00F53AB2" w:rsidP="003C3DAA">
            <w:pPr>
              <w:jc w:val="center"/>
              <w:rPr>
                <w:color w:val="000000"/>
                <w:sz w:val="16"/>
                <w:szCs w:val="16"/>
              </w:rPr>
            </w:pPr>
            <w:r w:rsidRPr="00E51207">
              <w:rPr>
                <w:color w:val="000000"/>
                <w:sz w:val="16"/>
                <w:szCs w:val="16"/>
              </w:rPr>
              <w:t>27/38</w:t>
            </w:r>
          </w:p>
        </w:tc>
        <w:tc>
          <w:tcPr>
            <w:tcW w:w="274" w:type="pct"/>
            <w:shd w:val="clear" w:color="auto" w:fill="F2F2F2" w:themeFill="background1" w:themeFillShade="F2"/>
            <w:noWrap/>
            <w:vAlign w:val="center"/>
            <w:hideMark/>
          </w:tcPr>
          <w:p w14:paraId="7AEA41D1" w14:textId="77777777" w:rsidR="00F53AB2" w:rsidRPr="00E51207" w:rsidRDefault="00F53AB2" w:rsidP="003C3DAA">
            <w:pPr>
              <w:jc w:val="right"/>
              <w:rPr>
                <w:color w:val="000000"/>
                <w:sz w:val="16"/>
                <w:szCs w:val="16"/>
              </w:rPr>
            </w:pPr>
            <w:r w:rsidRPr="00E51207">
              <w:rPr>
                <w:color w:val="000000"/>
                <w:sz w:val="16"/>
                <w:szCs w:val="16"/>
              </w:rPr>
              <w:t>71,05%</w:t>
            </w:r>
          </w:p>
        </w:tc>
        <w:tc>
          <w:tcPr>
            <w:tcW w:w="274" w:type="pct"/>
            <w:shd w:val="clear" w:color="auto" w:fill="auto"/>
            <w:noWrap/>
            <w:vAlign w:val="center"/>
            <w:hideMark/>
          </w:tcPr>
          <w:p w14:paraId="07EBF307" w14:textId="77777777" w:rsidR="00F53AB2" w:rsidRPr="00E51207" w:rsidRDefault="00F53AB2" w:rsidP="003C3DAA">
            <w:pPr>
              <w:jc w:val="center"/>
              <w:rPr>
                <w:color w:val="000000"/>
                <w:sz w:val="16"/>
                <w:szCs w:val="16"/>
              </w:rPr>
            </w:pPr>
            <w:r w:rsidRPr="00E51207">
              <w:rPr>
                <w:color w:val="000000"/>
                <w:sz w:val="16"/>
                <w:szCs w:val="16"/>
              </w:rPr>
              <w:t>26/38</w:t>
            </w:r>
          </w:p>
        </w:tc>
        <w:tc>
          <w:tcPr>
            <w:tcW w:w="274" w:type="pct"/>
            <w:shd w:val="clear" w:color="auto" w:fill="auto"/>
            <w:noWrap/>
            <w:vAlign w:val="center"/>
            <w:hideMark/>
          </w:tcPr>
          <w:p w14:paraId="01D71004" w14:textId="77777777" w:rsidR="00F53AB2" w:rsidRPr="00E51207" w:rsidRDefault="00F53AB2" w:rsidP="003C3DAA">
            <w:pPr>
              <w:jc w:val="right"/>
              <w:rPr>
                <w:color w:val="000000"/>
                <w:sz w:val="16"/>
                <w:szCs w:val="16"/>
              </w:rPr>
            </w:pPr>
            <w:r w:rsidRPr="00E51207">
              <w:rPr>
                <w:color w:val="000000"/>
                <w:sz w:val="16"/>
                <w:szCs w:val="16"/>
              </w:rPr>
              <w:t>68,42%</w:t>
            </w:r>
          </w:p>
        </w:tc>
        <w:tc>
          <w:tcPr>
            <w:tcW w:w="274" w:type="pct"/>
            <w:shd w:val="clear" w:color="auto" w:fill="F2F2F2" w:themeFill="background1" w:themeFillShade="F2"/>
            <w:noWrap/>
            <w:vAlign w:val="center"/>
            <w:hideMark/>
          </w:tcPr>
          <w:p w14:paraId="328E0CF8"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0E9463AF"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6DC0F608" w14:textId="77777777" w:rsidR="00F53AB2" w:rsidRPr="00E51207" w:rsidRDefault="00F53AB2" w:rsidP="003C3DAA">
            <w:pPr>
              <w:jc w:val="center"/>
              <w:rPr>
                <w:color w:val="000000"/>
                <w:sz w:val="16"/>
                <w:szCs w:val="16"/>
              </w:rPr>
            </w:pPr>
            <w:r w:rsidRPr="00E51207">
              <w:rPr>
                <w:color w:val="000000"/>
                <w:sz w:val="16"/>
                <w:szCs w:val="16"/>
              </w:rPr>
              <w:t>25/38</w:t>
            </w:r>
          </w:p>
        </w:tc>
        <w:tc>
          <w:tcPr>
            <w:tcW w:w="274" w:type="pct"/>
            <w:shd w:val="clear" w:color="auto" w:fill="auto"/>
            <w:noWrap/>
            <w:vAlign w:val="center"/>
            <w:hideMark/>
          </w:tcPr>
          <w:p w14:paraId="1EAB795C" w14:textId="77777777" w:rsidR="00F53AB2" w:rsidRPr="00E51207" w:rsidRDefault="00F53AB2" w:rsidP="003C3DAA">
            <w:pPr>
              <w:jc w:val="right"/>
              <w:rPr>
                <w:color w:val="000000"/>
                <w:sz w:val="16"/>
                <w:szCs w:val="16"/>
              </w:rPr>
            </w:pPr>
            <w:r w:rsidRPr="00E51207">
              <w:rPr>
                <w:color w:val="000000"/>
                <w:sz w:val="16"/>
                <w:szCs w:val="16"/>
              </w:rPr>
              <w:t>65,79%</w:t>
            </w:r>
          </w:p>
        </w:tc>
        <w:tc>
          <w:tcPr>
            <w:tcW w:w="274" w:type="pct"/>
            <w:shd w:val="clear" w:color="auto" w:fill="F2F2F2" w:themeFill="background1" w:themeFillShade="F2"/>
            <w:noWrap/>
            <w:vAlign w:val="center"/>
            <w:hideMark/>
          </w:tcPr>
          <w:p w14:paraId="335B79FE" w14:textId="77777777" w:rsidR="00F53AB2" w:rsidRPr="00E51207" w:rsidRDefault="00F53AB2" w:rsidP="003C3DAA">
            <w:pPr>
              <w:jc w:val="center"/>
              <w:rPr>
                <w:color w:val="000000"/>
                <w:sz w:val="16"/>
                <w:szCs w:val="16"/>
              </w:rPr>
            </w:pPr>
            <w:r w:rsidRPr="00E51207">
              <w:rPr>
                <w:color w:val="000000"/>
                <w:sz w:val="16"/>
                <w:szCs w:val="16"/>
              </w:rPr>
              <w:t>26/38</w:t>
            </w:r>
          </w:p>
        </w:tc>
        <w:tc>
          <w:tcPr>
            <w:tcW w:w="274" w:type="pct"/>
            <w:shd w:val="clear" w:color="auto" w:fill="F2F2F2" w:themeFill="background1" w:themeFillShade="F2"/>
            <w:noWrap/>
            <w:vAlign w:val="center"/>
            <w:hideMark/>
          </w:tcPr>
          <w:p w14:paraId="5763C842" w14:textId="77777777" w:rsidR="00F53AB2" w:rsidRPr="00E51207" w:rsidRDefault="00F53AB2" w:rsidP="003C3DAA">
            <w:pPr>
              <w:jc w:val="right"/>
              <w:rPr>
                <w:color w:val="000000"/>
                <w:sz w:val="16"/>
                <w:szCs w:val="16"/>
              </w:rPr>
            </w:pPr>
            <w:r w:rsidRPr="00E51207">
              <w:rPr>
                <w:color w:val="000000"/>
                <w:sz w:val="16"/>
                <w:szCs w:val="16"/>
              </w:rPr>
              <w:t>68,42%</w:t>
            </w:r>
          </w:p>
        </w:tc>
      </w:tr>
      <w:tr w:rsidR="00F53AB2" w:rsidRPr="00E51207" w14:paraId="790182A6" w14:textId="77777777" w:rsidTr="002263D5">
        <w:trPr>
          <w:trHeight w:val="290"/>
        </w:trPr>
        <w:tc>
          <w:tcPr>
            <w:tcW w:w="199" w:type="pct"/>
            <w:shd w:val="clear" w:color="auto" w:fill="auto"/>
            <w:noWrap/>
            <w:vAlign w:val="center"/>
            <w:hideMark/>
          </w:tcPr>
          <w:p w14:paraId="54B5FAFD" w14:textId="77777777" w:rsidR="00F53AB2" w:rsidRPr="00E51207" w:rsidRDefault="00F53AB2" w:rsidP="003C3DAA">
            <w:pPr>
              <w:jc w:val="right"/>
              <w:rPr>
                <w:color w:val="000000"/>
                <w:sz w:val="16"/>
                <w:szCs w:val="16"/>
              </w:rPr>
            </w:pPr>
            <w:r w:rsidRPr="00E51207">
              <w:rPr>
                <w:color w:val="000000"/>
                <w:sz w:val="16"/>
                <w:szCs w:val="16"/>
              </w:rPr>
              <w:t>38.</w:t>
            </w:r>
          </w:p>
        </w:tc>
        <w:tc>
          <w:tcPr>
            <w:tcW w:w="2060" w:type="pct"/>
            <w:shd w:val="clear" w:color="auto" w:fill="auto"/>
            <w:noWrap/>
            <w:vAlign w:val="center"/>
            <w:hideMark/>
          </w:tcPr>
          <w:p w14:paraId="646AB152" w14:textId="77777777" w:rsidR="00F53AB2" w:rsidRPr="00E51207" w:rsidRDefault="00F53AB2" w:rsidP="003C3DAA">
            <w:pPr>
              <w:rPr>
                <w:color w:val="000000"/>
                <w:sz w:val="16"/>
                <w:szCs w:val="16"/>
              </w:rPr>
            </w:pPr>
            <w:r w:rsidRPr="00E51207">
              <w:rPr>
                <w:color w:val="000000"/>
                <w:sz w:val="16"/>
                <w:szCs w:val="16"/>
              </w:rPr>
              <w:t>Agencija za poštanski promet BiH</w:t>
            </w:r>
          </w:p>
        </w:tc>
        <w:tc>
          <w:tcPr>
            <w:tcW w:w="274" w:type="pct"/>
            <w:shd w:val="clear" w:color="auto" w:fill="F2F2F2" w:themeFill="background1" w:themeFillShade="F2"/>
            <w:noWrap/>
            <w:vAlign w:val="center"/>
            <w:hideMark/>
          </w:tcPr>
          <w:p w14:paraId="6C2188D4"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5D8B1863"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3C33730B" w14:textId="77777777" w:rsidR="00F53AB2" w:rsidRPr="00E51207" w:rsidRDefault="00F53AB2" w:rsidP="003C3DAA">
            <w:pPr>
              <w:jc w:val="center"/>
              <w:rPr>
                <w:color w:val="000000"/>
                <w:sz w:val="16"/>
                <w:szCs w:val="16"/>
              </w:rPr>
            </w:pPr>
            <w:r w:rsidRPr="00E51207">
              <w:rPr>
                <w:color w:val="000000"/>
                <w:sz w:val="16"/>
                <w:szCs w:val="16"/>
              </w:rPr>
              <w:t>21/38</w:t>
            </w:r>
          </w:p>
        </w:tc>
        <w:tc>
          <w:tcPr>
            <w:tcW w:w="274" w:type="pct"/>
            <w:shd w:val="clear" w:color="auto" w:fill="auto"/>
            <w:noWrap/>
            <w:vAlign w:val="center"/>
            <w:hideMark/>
          </w:tcPr>
          <w:p w14:paraId="1CD1481D" w14:textId="77777777" w:rsidR="00F53AB2" w:rsidRPr="00E51207" w:rsidRDefault="00F53AB2" w:rsidP="003C3DAA">
            <w:pPr>
              <w:jc w:val="right"/>
              <w:rPr>
                <w:color w:val="000000"/>
                <w:sz w:val="16"/>
                <w:szCs w:val="16"/>
              </w:rPr>
            </w:pPr>
            <w:r w:rsidRPr="00E51207">
              <w:rPr>
                <w:color w:val="000000"/>
                <w:sz w:val="16"/>
                <w:szCs w:val="16"/>
              </w:rPr>
              <w:t>55,26%</w:t>
            </w:r>
          </w:p>
        </w:tc>
        <w:tc>
          <w:tcPr>
            <w:tcW w:w="274" w:type="pct"/>
            <w:shd w:val="clear" w:color="auto" w:fill="F2F2F2" w:themeFill="background1" w:themeFillShade="F2"/>
            <w:noWrap/>
            <w:vAlign w:val="center"/>
            <w:hideMark/>
          </w:tcPr>
          <w:p w14:paraId="23C82F38" w14:textId="77777777" w:rsidR="00F53AB2" w:rsidRPr="00E51207" w:rsidRDefault="00F53AB2" w:rsidP="003C3DAA">
            <w:pPr>
              <w:jc w:val="center"/>
              <w:rPr>
                <w:color w:val="000000"/>
                <w:sz w:val="16"/>
                <w:szCs w:val="16"/>
              </w:rPr>
            </w:pPr>
            <w:r w:rsidRPr="00E51207">
              <w:rPr>
                <w:color w:val="000000"/>
                <w:sz w:val="16"/>
                <w:szCs w:val="16"/>
              </w:rPr>
              <w:t>23/38</w:t>
            </w:r>
          </w:p>
        </w:tc>
        <w:tc>
          <w:tcPr>
            <w:tcW w:w="274" w:type="pct"/>
            <w:shd w:val="clear" w:color="auto" w:fill="F2F2F2" w:themeFill="background1" w:themeFillShade="F2"/>
            <w:noWrap/>
            <w:vAlign w:val="center"/>
            <w:hideMark/>
          </w:tcPr>
          <w:p w14:paraId="51C8310A" w14:textId="77777777" w:rsidR="00F53AB2" w:rsidRPr="00E51207" w:rsidRDefault="00F53AB2" w:rsidP="003C3DAA">
            <w:pPr>
              <w:jc w:val="right"/>
              <w:rPr>
                <w:color w:val="000000"/>
                <w:sz w:val="16"/>
                <w:szCs w:val="16"/>
              </w:rPr>
            </w:pPr>
            <w:r w:rsidRPr="00E51207">
              <w:rPr>
                <w:color w:val="000000"/>
                <w:sz w:val="16"/>
                <w:szCs w:val="16"/>
              </w:rPr>
              <w:t>60,53%</w:t>
            </w:r>
          </w:p>
        </w:tc>
        <w:tc>
          <w:tcPr>
            <w:tcW w:w="274" w:type="pct"/>
            <w:shd w:val="clear" w:color="auto" w:fill="auto"/>
            <w:noWrap/>
            <w:vAlign w:val="center"/>
            <w:hideMark/>
          </w:tcPr>
          <w:p w14:paraId="080E213B" w14:textId="77777777" w:rsidR="00F53AB2" w:rsidRPr="00E51207" w:rsidRDefault="00F53AB2" w:rsidP="003C3DAA">
            <w:pPr>
              <w:jc w:val="center"/>
              <w:rPr>
                <w:color w:val="000000"/>
                <w:sz w:val="16"/>
                <w:szCs w:val="16"/>
              </w:rPr>
            </w:pPr>
            <w:r w:rsidRPr="00E51207">
              <w:rPr>
                <w:color w:val="000000"/>
                <w:sz w:val="16"/>
                <w:szCs w:val="16"/>
              </w:rPr>
              <w:t>24/38</w:t>
            </w:r>
          </w:p>
        </w:tc>
        <w:tc>
          <w:tcPr>
            <w:tcW w:w="274" w:type="pct"/>
            <w:shd w:val="clear" w:color="auto" w:fill="auto"/>
            <w:noWrap/>
            <w:vAlign w:val="center"/>
            <w:hideMark/>
          </w:tcPr>
          <w:p w14:paraId="211D8AAF" w14:textId="77777777" w:rsidR="00F53AB2" w:rsidRPr="00E51207" w:rsidRDefault="00F53AB2" w:rsidP="003C3DAA">
            <w:pPr>
              <w:jc w:val="right"/>
              <w:rPr>
                <w:color w:val="000000"/>
                <w:sz w:val="16"/>
                <w:szCs w:val="16"/>
              </w:rPr>
            </w:pPr>
            <w:r w:rsidRPr="00E51207">
              <w:rPr>
                <w:color w:val="000000"/>
                <w:sz w:val="16"/>
                <w:szCs w:val="16"/>
              </w:rPr>
              <w:t>63,16%</w:t>
            </w:r>
          </w:p>
        </w:tc>
        <w:tc>
          <w:tcPr>
            <w:tcW w:w="274" w:type="pct"/>
            <w:shd w:val="clear" w:color="auto" w:fill="F2F2F2" w:themeFill="background1" w:themeFillShade="F2"/>
            <w:noWrap/>
            <w:vAlign w:val="center"/>
            <w:hideMark/>
          </w:tcPr>
          <w:p w14:paraId="055E2289" w14:textId="77777777" w:rsidR="00F53AB2" w:rsidRPr="00E51207" w:rsidRDefault="00F53AB2" w:rsidP="003C3DAA">
            <w:pPr>
              <w:jc w:val="center"/>
              <w:rPr>
                <w:color w:val="000000"/>
                <w:sz w:val="16"/>
                <w:szCs w:val="16"/>
              </w:rPr>
            </w:pPr>
            <w:r w:rsidRPr="00E51207">
              <w:rPr>
                <w:color w:val="000000"/>
                <w:sz w:val="16"/>
                <w:szCs w:val="16"/>
              </w:rPr>
              <w:t>27/38</w:t>
            </w:r>
          </w:p>
        </w:tc>
        <w:tc>
          <w:tcPr>
            <w:tcW w:w="274" w:type="pct"/>
            <w:shd w:val="clear" w:color="auto" w:fill="F2F2F2" w:themeFill="background1" w:themeFillShade="F2"/>
            <w:noWrap/>
            <w:vAlign w:val="center"/>
            <w:hideMark/>
          </w:tcPr>
          <w:p w14:paraId="075F95C6" w14:textId="77777777" w:rsidR="00F53AB2" w:rsidRPr="00E51207" w:rsidRDefault="00F53AB2" w:rsidP="003C3DAA">
            <w:pPr>
              <w:jc w:val="right"/>
              <w:rPr>
                <w:color w:val="000000"/>
                <w:sz w:val="16"/>
                <w:szCs w:val="16"/>
              </w:rPr>
            </w:pPr>
            <w:r w:rsidRPr="00E51207">
              <w:rPr>
                <w:color w:val="000000"/>
                <w:sz w:val="16"/>
                <w:szCs w:val="16"/>
              </w:rPr>
              <w:t>71,05%</w:t>
            </w:r>
          </w:p>
        </w:tc>
      </w:tr>
      <w:tr w:rsidR="00F53AB2" w:rsidRPr="00E51207" w14:paraId="57195609" w14:textId="77777777" w:rsidTr="002263D5">
        <w:trPr>
          <w:trHeight w:val="290"/>
        </w:trPr>
        <w:tc>
          <w:tcPr>
            <w:tcW w:w="199" w:type="pct"/>
            <w:shd w:val="clear" w:color="auto" w:fill="auto"/>
            <w:noWrap/>
            <w:vAlign w:val="center"/>
            <w:hideMark/>
          </w:tcPr>
          <w:p w14:paraId="49FE2393" w14:textId="77777777" w:rsidR="00F53AB2" w:rsidRPr="00E51207" w:rsidRDefault="00F53AB2" w:rsidP="003C3DAA">
            <w:pPr>
              <w:jc w:val="right"/>
              <w:rPr>
                <w:color w:val="000000"/>
                <w:sz w:val="16"/>
                <w:szCs w:val="16"/>
              </w:rPr>
            </w:pPr>
            <w:r w:rsidRPr="00E51207">
              <w:rPr>
                <w:color w:val="000000"/>
                <w:sz w:val="16"/>
                <w:szCs w:val="16"/>
              </w:rPr>
              <w:t>39.</w:t>
            </w:r>
          </w:p>
        </w:tc>
        <w:tc>
          <w:tcPr>
            <w:tcW w:w="2060" w:type="pct"/>
            <w:shd w:val="clear" w:color="auto" w:fill="auto"/>
            <w:noWrap/>
            <w:vAlign w:val="center"/>
            <w:hideMark/>
          </w:tcPr>
          <w:p w14:paraId="35A78F40" w14:textId="77777777" w:rsidR="00F53AB2" w:rsidRPr="00E51207" w:rsidRDefault="00F53AB2" w:rsidP="003C3DAA">
            <w:pPr>
              <w:rPr>
                <w:color w:val="000000"/>
                <w:sz w:val="16"/>
                <w:szCs w:val="16"/>
              </w:rPr>
            </w:pPr>
            <w:r w:rsidRPr="00E51207">
              <w:rPr>
                <w:color w:val="000000"/>
                <w:sz w:val="16"/>
                <w:szCs w:val="16"/>
              </w:rPr>
              <w:t>Arhiv BiH</w:t>
            </w:r>
          </w:p>
        </w:tc>
        <w:tc>
          <w:tcPr>
            <w:tcW w:w="274" w:type="pct"/>
            <w:shd w:val="clear" w:color="auto" w:fill="F2F2F2" w:themeFill="background1" w:themeFillShade="F2"/>
            <w:noWrap/>
            <w:vAlign w:val="center"/>
            <w:hideMark/>
          </w:tcPr>
          <w:p w14:paraId="782F63B6" w14:textId="77777777" w:rsidR="00F53AB2" w:rsidRPr="00E51207" w:rsidRDefault="00F53AB2" w:rsidP="003C3DAA">
            <w:pPr>
              <w:jc w:val="center"/>
              <w:rPr>
                <w:color w:val="000000"/>
                <w:sz w:val="16"/>
                <w:szCs w:val="16"/>
              </w:rPr>
            </w:pPr>
            <w:r w:rsidRPr="00E51207">
              <w:rPr>
                <w:color w:val="000000"/>
                <w:sz w:val="16"/>
                <w:szCs w:val="16"/>
              </w:rPr>
              <w:t>17/38</w:t>
            </w:r>
          </w:p>
        </w:tc>
        <w:tc>
          <w:tcPr>
            <w:tcW w:w="274" w:type="pct"/>
            <w:shd w:val="clear" w:color="auto" w:fill="F2F2F2" w:themeFill="background1" w:themeFillShade="F2"/>
            <w:noWrap/>
            <w:vAlign w:val="center"/>
            <w:hideMark/>
          </w:tcPr>
          <w:p w14:paraId="4D1138AC" w14:textId="77777777" w:rsidR="00F53AB2" w:rsidRPr="00E51207" w:rsidRDefault="00F53AB2" w:rsidP="003C3DAA">
            <w:pPr>
              <w:jc w:val="right"/>
              <w:rPr>
                <w:color w:val="000000"/>
                <w:sz w:val="16"/>
                <w:szCs w:val="16"/>
              </w:rPr>
            </w:pPr>
            <w:r w:rsidRPr="00E51207">
              <w:rPr>
                <w:color w:val="000000"/>
                <w:sz w:val="16"/>
                <w:szCs w:val="16"/>
              </w:rPr>
              <w:t>44,74%</w:t>
            </w:r>
          </w:p>
        </w:tc>
        <w:tc>
          <w:tcPr>
            <w:tcW w:w="274" w:type="pct"/>
            <w:shd w:val="clear" w:color="auto" w:fill="auto"/>
            <w:noWrap/>
            <w:vAlign w:val="center"/>
            <w:hideMark/>
          </w:tcPr>
          <w:p w14:paraId="28B80C8E" w14:textId="77777777" w:rsidR="00F53AB2" w:rsidRPr="00E51207" w:rsidRDefault="00F53AB2" w:rsidP="003C3DAA">
            <w:pPr>
              <w:jc w:val="center"/>
              <w:rPr>
                <w:color w:val="000000"/>
                <w:sz w:val="16"/>
                <w:szCs w:val="16"/>
              </w:rPr>
            </w:pPr>
            <w:r w:rsidRPr="00E51207">
              <w:rPr>
                <w:color w:val="000000"/>
                <w:sz w:val="16"/>
                <w:szCs w:val="16"/>
              </w:rPr>
              <w:t>22/38</w:t>
            </w:r>
          </w:p>
        </w:tc>
        <w:tc>
          <w:tcPr>
            <w:tcW w:w="274" w:type="pct"/>
            <w:shd w:val="clear" w:color="auto" w:fill="auto"/>
            <w:noWrap/>
            <w:vAlign w:val="center"/>
            <w:hideMark/>
          </w:tcPr>
          <w:p w14:paraId="37C676E8" w14:textId="77777777" w:rsidR="00F53AB2" w:rsidRPr="00E51207" w:rsidRDefault="00F53AB2" w:rsidP="003C3DAA">
            <w:pPr>
              <w:jc w:val="right"/>
              <w:rPr>
                <w:color w:val="000000"/>
                <w:sz w:val="16"/>
                <w:szCs w:val="16"/>
              </w:rPr>
            </w:pPr>
            <w:r w:rsidRPr="00E51207">
              <w:rPr>
                <w:color w:val="000000"/>
                <w:sz w:val="16"/>
                <w:szCs w:val="16"/>
              </w:rPr>
              <w:t>57,89%</w:t>
            </w:r>
          </w:p>
        </w:tc>
        <w:tc>
          <w:tcPr>
            <w:tcW w:w="274" w:type="pct"/>
            <w:shd w:val="clear" w:color="auto" w:fill="F2F2F2" w:themeFill="background1" w:themeFillShade="F2"/>
            <w:noWrap/>
            <w:vAlign w:val="center"/>
            <w:hideMark/>
          </w:tcPr>
          <w:p w14:paraId="53CC7B85"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66AB83F7"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5CF29516"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614E5E95"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168F620F" w14:textId="77777777" w:rsidR="00F53AB2" w:rsidRPr="00E51207" w:rsidRDefault="00F53AB2" w:rsidP="003C3DAA">
            <w:pPr>
              <w:jc w:val="center"/>
              <w:rPr>
                <w:color w:val="000000"/>
                <w:sz w:val="16"/>
                <w:szCs w:val="16"/>
              </w:rPr>
            </w:pPr>
            <w:r w:rsidRPr="00E51207">
              <w:rPr>
                <w:color w:val="000000"/>
                <w:sz w:val="16"/>
                <w:szCs w:val="16"/>
              </w:rPr>
              <w:t>27/38</w:t>
            </w:r>
          </w:p>
        </w:tc>
        <w:tc>
          <w:tcPr>
            <w:tcW w:w="274" w:type="pct"/>
            <w:shd w:val="clear" w:color="auto" w:fill="F2F2F2" w:themeFill="background1" w:themeFillShade="F2"/>
            <w:noWrap/>
            <w:vAlign w:val="center"/>
            <w:hideMark/>
          </w:tcPr>
          <w:p w14:paraId="15B18A75" w14:textId="77777777" w:rsidR="00F53AB2" w:rsidRPr="00E51207" w:rsidRDefault="00F53AB2" w:rsidP="003C3DAA">
            <w:pPr>
              <w:jc w:val="right"/>
              <w:rPr>
                <w:color w:val="000000"/>
                <w:sz w:val="16"/>
                <w:szCs w:val="16"/>
              </w:rPr>
            </w:pPr>
            <w:r w:rsidRPr="00E51207">
              <w:rPr>
                <w:color w:val="000000"/>
                <w:sz w:val="16"/>
                <w:szCs w:val="16"/>
              </w:rPr>
              <w:t>71,05%</w:t>
            </w:r>
          </w:p>
        </w:tc>
      </w:tr>
      <w:tr w:rsidR="00F53AB2" w:rsidRPr="007B3AE5" w14:paraId="14BAC8C8" w14:textId="77777777" w:rsidTr="002263D5">
        <w:trPr>
          <w:trHeight w:val="290"/>
        </w:trPr>
        <w:tc>
          <w:tcPr>
            <w:tcW w:w="199" w:type="pct"/>
            <w:shd w:val="clear" w:color="auto" w:fill="auto"/>
            <w:noWrap/>
            <w:vAlign w:val="center"/>
            <w:hideMark/>
          </w:tcPr>
          <w:p w14:paraId="02068591" w14:textId="77777777" w:rsidR="00F53AB2" w:rsidRPr="00E51207" w:rsidRDefault="00F53AB2" w:rsidP="003C3DAA">
            <w:pPr>
              <w:jc w:val="right"/>
              <w:rPr>
                <w:color w:val="000000"/>
                <w:sz w:val="16"/>
                <w:szCs w:val="16"/>
              </w:rPr>
            </w:pPr>
            <w:r w:rsidRPr="00E51207">
              <w:rPr>
                <w:color w:val="000000"/>
                <w:sz w:val="16"/>
                <w:szCs w:val="16"/>
              </w:rPr>
              <w:t>40.</w:t>
            </w:r>
          </w:p>
        </w:tc>
        <w:tc>
          <w:tcPr>
            <w:tcW w:w="2060" w:type="pct"/>
            <w:shd w:val="clear" w:color="auto" w:fill="auto"/>
            <w:noWrap/>
            <w:vAlign w:val="center"/>
            <w:hideMark/>
          </w:tcPr>
          <w:p w14:paraId="4F3ECD8A" w14:textId="77777777" w:rsidR="00F53AB2" w:rsidRPr="00E51207" w:rsidRDefault="00F53AB2" w:rsidP="003C3DAA">
            <w:pPr>
              <w:rPr>
                <w:color w:val="000000"/>
                <w:sz w:val="16"/>
                <w:szCs w:val="16"/>
              </w:rPr>
            </w:pPr>
            <w:r w:rsidRPr="00E51207">
              <w:rPr>
                <w:color w:val="000000"/>
                <w:sz w:val="16"/>
                <w:szCs w:val="16"/>
              </w:rPr>
              <w:t>Služba za poslove sa strancima BiH</w:t>
            </w:r>
          </w:p>
        </w:tc>
        <w:tc>
          <w:tcPr>
            <w:tcW w:w="274" w:type="pct"/>
            <w:shd w:val="clear" w:color="auto" w:fill="F2F2F2" w:themeFill="background1" w:themeFillShade="F2"/>
            <w:noWrap/>
            <w:vAlign w:val="center"/>
            <w:hideMark/>
          </w:tcPr>
          <w:p w14:paraId="375FF403"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7720EF81"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45910E97"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68E991E4"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638ECC44" w14:textId="77777777" w:rsidR="00F53AB2" w:rsidRPr="00E51207" w:rsidRDefault="00F53AB2" w:rsidP="003C3DAA">
            <w:pPr>
              <w:jc w:val="center"/>
              <w:rPr>
                <w:color w:val="000000"/>
                <w:sz w:val="16"/>
                <w:szCs w:val="16"/>
              </w:rPr>
            </w:pPr>
            <w:r w:rsidRPr="00E51207">
              <w:rPr>
                <w:color w:val="000000"/>
                <w:sz w:val="16"/>
                <w:szCs w:val="16"/>
              </w:rPr>
              <w:t>22/38</w:t>
            </w:r>
          </w:p>
        </w:tc>
        <w:tc>
          <w:tcPr>
            <w:tcW w:w="274" w:type="pct"/>
            <w:shd w:val="clear" w:color="auto" w:fill="F2F2F2" w:themeFill="background1" w:themeFillShade="F2"/>
            <w:noWrap/>
            <w:vAlign w:val="center"/>
            <w:hideMark/>
          </w:tcPr>
          <w:p w14:paraId="783F30E1" w14:textId="77777777" w:rsidR="00F53AB2" w:rsidRPr="00E51207" w:rsidRDefault="00F53AB2" w:rsidP="003C3DAA">
            <w:pPr>
              <w:jc w:val="right"/>
              <w:rPr>
                <w:color w:val="000000"/>
                <w:sz w:val="16"/>
                <w:szCs w:val="16"/>
              </w:rPr>
            </w:pPr>
            <w:r w:rsidRPr="00E51207">
              <w:rPr>
                <w:color w:val="000000"/>
                <w:sz w:val="16"/>
                <w:szCs w:val="16"/>
              </w:rPr>
              <w:t>57,89%</w:t>
            </w:r>
          </w:p>
        </w:tc>
        <w:tc>
          <w:tcPr>
            <w:tcW w:w="274" w:type="pct"/>
            <w:shd w:val="clear" w:color="auto" w:fill="auto"/>
            <w:noWrap/>
            <w:vAlign w:val="center"/>
            <w:hideMark/>
          </w:tcPr>
          <w:p w14:paraId="2B432253"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498883EC"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1539D04D" w14:textId="77777777" w:rsidR="00F53AB2" w:rsidRPr="00E51207" w:rsidRDefault="00F53AB2" w:rsidP="003C3DAA">
            <w:pPr>
              <w:jc w:val="center"/>
              <w:rPr>
                <w:color w:val="000000"/>
                <w:sz w:val="16"/>
                <w:szCs w:val="16"/>
              </w:rPr>
            </w:pPr>
            <w:r w:rsidRPr="00E51207">
              <w:rPr>
                <w:color w:val="000000"/>
                <w:sz w:val="16"/>
                <w:szCs w:val="16"/>
              </w:rPr>
              <w:t>27/38</w:t>
            </w:r>
          </w:p>
        </w:tc>
        <w:tc>
          <w:tcPr>
            <w:tcW w:w="274" w:type="pct"/>
            <w:shd w:val="clear" w:color="auto" w:fill="F2F2F2" w:themeFill="background1" w:themeFillShade="F2"/>
            <w:noWrap/>
            <w:vAlign w:val="center"/>
            <w:hideMark/>
          </w:tcPr>
          <w:p w14:paraId="65F8CC19" w14:textId="77777777" w:rsidR="00F53AB2" w:rsidRPr="00E51207" w:rsidRDefault="00F53AB2" w:rsidP="003C3DAA">
            <w:pPr>
              <w:jc w:val="right"/>
              <w:rPr>
                <w:color w:val="000000"/>
                <w:sz w:val="16"/>
                <w:szCs w:val="16"/>
              </w:rPr>
            </w:pPr>
            <w:r w:rsidRPr="00E51207">
              <w:rPr>
                <w:color w:val="000000"/>
                <w:sz w:val="16"/>
                <w:szCs w:val="16"/>
              </w:rPr>
              <w:t>71,05%</w:t>
            </w:r>
          </w:p>
        </w:tc>
      </w:tr>
      <w:tr w:rsidR="00F53AB2" w:rsidRPr="007B3AE5" w14:paraId="167AB4D5" w14:textId="77777777" w:rsidTr="002263D5">
        <w:trPr>
          <w:trHeight w:val="290"/>
        </w:trPr>
        <w:tc>
          <w:tcPr>
            <w:tcW w:w="199" w:type="pct"/>
            <w:shd w:val="clear" w:color="auto" w:fill="auto"/>
            <w:noWrap/>
            <w:vAlign w:val="center"/>
            <w:hideMark/>
          </w:tcPr>
          <w:p w14:paraId="5CB55122" w14:textId="77777777" w:rsidR="00F53AB2" w:rsidRPr="00E51207" w:rsidRDefault="00F53AB2" w:rsidP="003C3DAA">
            <w:pPr>
              <w:jc w:val="right"/>
              <w:rPr>
                <w:color w:val="000000"/>
                <w:sz w:val="16"/>
                <w:szCs w:val="16"/>
              </w:rPr>
            </w:pPr>
            <w:r w:rsidRPr="00E51207">
              <w:rPr>
                <w:color w:val="000000"/>
                <w:sz w:val="16"/>
                <w:szCs w:val="16"/>
              </w:rPr>
              <w:t>41.</w:t>
            </w:r>
          </w:p>
        </w:tc>
        <w:tc>
          <w:tcPr>
            <w:tcW w:w="2060" w:type="pct"/>
            <w:shd w:val="clear" w:color="auto" w:fill="auto"/>
            <w:noWrap/>
            <w:vAlign w:val="center"/>
            <w:hideMark/>
          </w:tcPr>
          <w:p w14:paraId="32F67333" w14:textId="77777777" w:rsidR="00F53AB2" w:rsidRPr="00E51207" w:rsidRDefault="00F53AB2" w:rsidP="003C3DAA">
            <w:pPr>
              <w:rPr>
                <w:color w:val="000000"/>
                <w:sz w:val="16"/>
                <w:szCs w:val="16"/>
              </w:rPr>
            </w:pPr>
            <w:r w:rsidRPr="00E51207">
              <w:rPr>
                <w:color w:val="000000"/>
                <w:sz w:val="16"/>
                <w:szCs w:val="16"/>
              </w:rPr>
              <w:t>Institucija ombudsmena za zaštitu potrošača u BiH</w:t>
            </w:r>
          </w:p>
        </w:tc>
        <w:tc>
          <w:tcPr>
            <w:tcW w:w="274" w:type="pct"/>
            <w:shd w:val="clear" w:color="auto" w:fill="F2F2F2" w:themeFill="background1" w:themeFillShade="F2"/>
            <w:noWrap/>
            <w:vAlign w:val="center"/>
            <w:hideMark/>
          </w:tcPr>
          <w:p w14:paraId="33AE29F2" w14:textId="77777777" w:rsidR="00F53AB2" w:rsidRPr="00E51207" w:rsidRDefault="00F53AB2" w:rsidP="003C3DAA">
            <w:pPr>
              <w:jc w:val="center"/>
              <w:rPr>
                <w:color w:val="000000"/>
                <w:sz w:val="16"/>
                <w:szCs w:val="16"/>
              </w:rPr>
            </w:pPr>
            <w:r w:rsidRPr="00E51207">
              <w:rPr>
                <w:color w:val="000000"/>
                <w:sz w:val="16"/>
                <w:szCs w:val="16"/>
              </w:rPr>
              <w:t>26/38</w:t>
            </w:r>
          </w:p>
        </w:tc>
        <w:tc>
          <w:tcPr>
            <w:tcW w:w="274" w:type="pct"/>
            <w:shd w:val="clear" w:color="auto" w:fill="F2F2F2" w:themeFill="background1" w:themeFillShade="F2"/>
            <w:noWrap/>
            <w:vAlign w:val="center"/>
            <w:hideMark/>
          </w:tcPr>
          <w:p w14:paraId="3B8BE827" w14:textId="77777777" w:rsidR="00F53AB2" w:rsidRPr="00E51207" w:rsidRDefault="00F53AB2" w:rsidP="003C3DAA">
            <w:pPr>
              <w:jc w:val="right"/>
              <w:rPr>
                <w:color w:val="000000"/>
                <w:sz w:val="16"/>
                <w:szCs w:val="16"/>
              </w:rPr>
            </w:pPr>
            <w:r w:rsidRPr="00E51207">
              <w:rPr>
                <w:color w:val="000000"/>
                <w:sz w:val="16"/>
                <w:szCs w:val="16"/>
              </w:rPr>
              <w:t>68,42%</w:t>
            </w:r>
          </w:p>
        </w:tc>
        <w:tc>
          <w:tcPr>
            <w:tcW w:w="274" w:type="pct"/>
            <w:shd w:val="clear" w:color="auto" w:fill="auto"/>
            <w:noWrap/>
            <w:vAlign w:val="center"/>
            <w:hideMark/>
          </w:tcPr>
          <w:p w14:paraId="015605B3" w14:textId="77777777" w:rsidR="00F53AB2" w:rsidRPr="00E51207" w:rsidRDefault="00F53AB2" w:rsidP="003C3DAA">
            <w:pPr>
              <w:jc w:val="center"/>
              <w:rPr>
                <w:color w:val="000000"/>
                <w:sz w:val="16"/>
                <w:szCs w:val="16"/>
              </w:rPr>
            </w:pPr>
            <w:r w:rsidRPr="00E51207">
              <w:rPr>
                <w:color w:val="000000"/>
                <w:sz w:val="16"/>
                <w:szCs w:val="16"/>
              </w:rPr>
              <w:t>23/38</w:t>
            </w:r>
          </w:p>
        </w:tc>
        <w:tc>
          <w:tcPr>
            <w:tcW w:w="274" w:type="pct"/>
            <w:shd w:val="clear" w:color="auto" w:fill="auto"/>
            <w:noWrap/>
            <w:vAlign w:val="center"/>
            <w:hideMark/>
          </w:tcPr>
          <w:p w14:paraId="5C255C39" w14:textId="77777777" w:rsidR="00F53AB2" w:rsidRPr="00E51207" w:rsidRDefault="00F53AB2" w:rsidP="003C3DAA">
            <w:pPr>
              <w:jc w:val="right"/>
              <w:rPr>
                <w:color w:val="000000"/>
                <w:sz w:val="16"/>
                <w:szCs w:val="16"/>
              </w:rPr>
            </w:pPr>
            <w:r w:rsidRPr="00E51207">
              <w:rPr>
                <w:color w:val="000000"/>
                <w:sz w:val="16"/>
                <w:szCs w:val="16"/>
              </w:rPr>
              <w:t>60,53%</w:t>
            </w:r>
          </w:p>
        </w:tc>
        <w:tc>
          <w:tcPr>
            <w:tcW w:w="274" w:type="pct"/>
            <w:shd w:val="clear" w:color="auto" w:fill="F2F2F2" w:themeFill="background1" w:themeFillShade="F2"/>
            <w:noWrap/>
            <w:vAlign w:val="center"/>
            <w:hideMark/>
          </w:tcPr>
          <w:p w14:paraId="204FD964" w14:textId="77777777" w:rsidR="00F53AB2" w:rsidRPr="00E51207" w:rsidRDefault="00F53AB2" w:rsidP="003C3DAA">
            <w:pPr>
              <w:jc w:val="center"/>
              <w:rPr>
                <w:color w:val="000000"/>
                <w:sz w:val="16"/>
                <w:szCs w:val="16"/>
              </w:rPr>
            </w:pPr>
            <w:r w:rsidRPr="00E51207">
              <w:rPr>
                <w:color w:val="000000"/>
                <w:sz w:val="16"/>
                <w:szCs w:val="16"/>
              </w:rPr>
              <w:t>21/38</w:t>
            </w:r>
          </w:p>
        </w:tc>
        <w:tc>
          <w:tcPr>
            <w:tcW w:w="274" w:type="pct"/>
            <w:shd w:val="clear" w:color="auto" w:fill="F2F2F2" w:themeFill="background1" w:themeFillShade="F2"/>
            <w:noWrap/>
            <w:vAlign w:val="center"/>
            <w:hideMark/>
          </w:tcPr>
          <w:p w14:paraId="325398BC" w14:textId="77777777" w:rsidR="00F53AB2" w:rsidRPr="00E51207" w:rsidRDefault="00F53AB2" w:rsidP="003C3DAA">
            <w:pPr>
              <w:jc w:val="right"/>
              <w:rPr>
                <w:color w:val="000000"/>
                <w:sz w:val="16"/>
                <w:szCs w:val="16"/>
              </w:rPr>
            </w:pPr>
            <w:r w:rsidRPr="00E51207">
              <w:rPr>
                <w:color w:val="000000"/>
                <w:sz w:val="16"/>
                <w:szCs w:val="16"/>
              </w:rPr>
              <w:t>55,26%</w:t>
            </w:r>
          </w:p>
        </w:tc>
        <w:tc>
          <w:tcPr>
            <w:tcW w:w="274" w:type="pct"/>
            <w:shd w:val="clear" w:color="auto" w:fill="auto"/>
            <w:noWrap/>
            <w:vAlign w:val="center"/>
            <w:hideMark/>
          </w:tcPr>
          <w:p w14:paraId="4C17421B" w14:textId="77777777" w:rsidR="00F53AB2" w:rsidRPr="00E51207" w:rsidRDefault="00F53AB2" w:rsidP="003C3DAA">
            <w:pPr>
              <w:jc w:val="center"/>
              <w:rPr>
                <w:color w:val="000000"/>
                <w:sz w:val="16"/>
                <w:szCs w:val="16"/>
              </w:rPr>
            </w:pPr>
            <w:r w:rsidRPr="00E51207">
              <w:rPr>
                <w:color w:val="000000"/>
                <w:sz w:val="16"/>
                <w:szCs w:val="16"/>
              </w:rPr>
              <w:t>24/38</w:t>
            </w:r>
          </w:p>
        </w:tc>
        <w:tc>
          <w:tcPr>
            <w:tcW w:w="274" w:type="pct"/>
            <w:shd w:val="clear" w:color="auto" w:fill="auto"/>
            <w:noWrap/>
            <w:vAlign w:val="center"/>
            <w:hideMark/>
          </w:tcPr>
          <w:p w14:paraId="334FEF89" w14:textId="77777777" w:rsidR="00F53AB2" w:rsidRPr="00E51207" w:rsidRDefault="00F53AB2" w:rsidP="003C3DAA">
            <w:pPr>
              <w:jc w:val="right"/>
              <w:rPr>
                <w:color w:val="000000"/>
                <w:sz w:val="16"/>
                <w:szCs w:val="16"/>
              </w:rPr>
            </w:pPr>
            <w:r w:rsidRPr="00E51207">
              <w:rPr>
                <w:color w:val="000000"/>
                <w:sz w:val="16"/>
                <w:szCs w:val="16"/>
              </w:rPr>
              <w:t>63,16%</w:t>
            </w:r>
          </w:p>
        </w:tc>
        <w:tc>
          <w:tcPr>
            <w:tcW w:w="274" w:type="pct"/>
            <w:shd w:val="clear" w:color="auto" w:fill="F2F2F2" w:themeFill="background1" w:themeFillShade="F2"/>
            <w:noWrap/>
            <w:vAlign w:val="center"/>
            <w:hideMark/>
          </w:tcPr>
          <w:p w14:paraId="1CA51990" w14:textId="77777777" w:rsidR="00F53AB2" w:rsidRPr="00E51207" w:rsidRDefault="00F53AB2" w:rsidP="003C3DAA">
            <w:pPr>
              <w:jc w:val="center"/>
              <w:rPr>
                <w:color w:val="000000"/>
                <w:sz w:val="16"/>
                <w:szCs w:val="16"/>
              </w:rPr>
            </w:pPr>
            <w:r w:rsidRPr="00E51207">
              <w:rPr>
                <w:color w:val="000000"/>
                <w:sz w:val="16"/>
                <w:szCs w:val="16"/>
              </w:rPr>
              <w:t>28/38</w:t>
            </w:r>
          </w:p>
        </w:tc>
        <w:tc>
          <w:tcPr>
            <w:tcW w:w="274" w:type="pct"/>
            <w:shd w:val="clear" w:color="auto" w:fill="F2F2F2" w:themeFill="background1" w:themeFillShade="F2"/>
            <w:noWrap/>
            <w:vAlign w:val="center"/>
            <w:hideMark/>
          </w:tcPr>
          <w:p w14:paraId="04D26509" w14:textId="77777777" w:rsidR="00F53AB2" w:rsidRPr="00E51207" w:rsidRDefault="00F53AB2" w:rsidP="003C3DAA">
            <w:pPr>
              <w:jc w:val="right"/>
              <w:rPr>
                <w:color w:val="000000"/>
                <w:sz w:val="16"/>
                <w:szCs w:val="16"/>
              </w:rPr>
            </w:pPr>
            <w:r w:rsidRPr="00E51207">
              <w:rPr>
                <w:color w:val="000000"/>
                <w:sz w:val="16"/>
                <w:szCs w:val="16"/>
              </w:rPr>
              <w:t>73,68%</w:t>
            </w:r>
          </w:p>
        </w:tc>
      </w:tr>
      <w:tr w:rsidR="00F53AB2" w:rsidRPr="007B3AE5" w14:paraId="60F1AA2F" w14:textId="77777777" w:rsidTr="002263D5">
        <w:trPr>
          <w:trHeight w:val="290"/>
        </w:trPr>
        <w:tc>
          <w:tcPr>
            <w:tcW w:w="199" w:type="pct"/>
            <w:shd w:val="clear" w:color="auto" w:fill="auto"/>
            <w:noWrap/>
            <w:vAlign w:val="center"/>
            <w:hideMark/>
          </w:tcPr>
          <w:p w14:paraId="7C780972" w14:textId="77777777" w:rsidR="00F53AB2" w:rsidRPr="00E51207" w:rsidRDefault="00F53AB2" w:rsidP="003C3DAA">
            <w:pPr>
              <w:jc w:val="right"/>
              <w:rPr>
                <w:color w:val="000000"/>
                <w:sz w:val="16"/>
                <w:szCs w:val="16"/>
              </w:rPr>
            </w:pPr>
            <w:r w:rsidRPr="00E51207">
              <w:rPr>
                <w:color w:val="000000"/>
                <w:sz w:val="16"/>
                <w:szCs w:val="16"/>
              </w:rPr>
              <w:t>42.</w:t>
            </w:r>
          </w:p>
        </w:tc>
        <w:tc>
          <w:tcPr>
            <w:tcW w:w="2060" w:type="pct"/>
            <w:shd w:val="clear" w:color="auto" w:fill="auto"/>
            <w:noWrap/>
            <w:vAlign w:val="center"/>
            <w:hideMark/>
          </w:tcPr>
          <w:p w14:paraId="240F51DA" w14:textId="77777777" w:rsidR="00F53AB2" w:rsidRPr="00E51207" w:rsidRDefault="00F53AB2" w:rsidP="003C3DAA">
            <w:pPr>
              <w:rPr>
                <w:color w:val="000000"/>
                <w:sz w:val="16"/>
                <w:szCs w:val="16"/>
              </w:rPr>
            </w:pPr>
            <w:r w:rsidRPr="00E51207">
              <w:rPr>
                <w:color w:val="000000"/>
                <w:sz w:val="16"/>
                <w:szCs w:val="16"/>
              </w:rPr>
              <w:t>Ministarstvo odbrane BiH</w:t>
            </w:r>
          </w:p>
        </w:tc>
        <w:tc>
          <w:tcPr>
            <w:tcW w:w="274" w:type="pct"/>
            <w:shd w:val="clear" w:color="auto" w:fill="F2F2F2" w:themeFill="background1" w:themeFillShade="F2"/>
            <w:noWrap/>
            <w:vAlign w:val="center"/>
            <w:hideMark/>
          </w:tcPr>
          <w:p w14:paraId="7AC3E059"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4782B376"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7C2B9CE4" w14:textId="77777777" w:rsidR="00F53AB2" w:rsidRPr="00E51207" w:rsidRDefault="00F53AB2" w:rsidP="003C3DAA">
            <w:pPr>
              <w:jc w:val="center"/>
              <w:rPr>
                <w:color w:val="000000"/>
                <w:sz w:val="16"/>
                <w:szCs w:val="16"/>
              </w:rPr>
            </w:pPr>
            <w:r w:rsidRPr="00E51207">
              <w:rPr>
                <w:color w:val="000000"/>
                <w:sz w:val="16"/>
                <w:szCs w:val="16"/>
              </w:rPr>
              <w:t>25/38</w:t>
            </w:r>
          </w:p>
        </w:tc>
        <w:tc>
          <w:tcPr>
            <w:tcW w:w="274" w:type="pct"/>
            <w:shd w:val="clear" w:color="auto" w:fill="auto"/>
            <w:noWrap/>
            <w:vAlign w:val="center"/>
            <w:hideMark/>
          </w:tcPr>
          <w:p w14:paraId="302ECDAA" w14:textId="77777777" w:rsidR="00F53AB2" w:rsidRPr="00E51207" w:rsidRDefault="00F53AB2" w:rsidP="003C3DAA">
            <w:pPr>
              <w:jc w:val="right"/>
              <w:rPr>
                <w:color w:val="000000"/>
                <w:sz w:val="16"/>
                <w:szCs w:val="16"/>
              </w:rPr>
            </w:pPr>
            <w:r w:rsidRPr="00E51207">
              <w:rPr>
                <w:color w:val="000000"/>
                <w:sz w:val="16"/>
                <w:szCs w:val="16"/>
              </w:rPr>
              <w:t>65,79%</w:t>
            </w:r>
          </w:p>
        </w:tc>
        <w:tc>
          <w:tcPr>
            <w:tcW w:w="274" w:type="pct"/>
            <w:shd w:val="clear" w:color="auto" w:fill="F2F2F2" w:themeFill="background1" w:themeFillShade="F2"/>
            <w:noWrap/>
            <w:vAlign w:val="center"/>
            <w:hideMark/>
          </w:tcPr>
          <w:p w14:paraId="0E94CFE6" w14:textId="77777777" w:rsidR="00F53AB2" w:rsidRPr="00E51207" w:rsidRDefault="00F53AB2" w:rsidP="003C3DAA">
            <w:pPr>
              <w:jc w:val="center"/>
              <w:rPr>
                <w:color w:val="000000"/>
                <w:sz w:val="16"/>
                <w:szCs w:val="16"/>
              </w:rPr>
            </w:pPr>
            <w:r w:rsidRPr="00E51207">
              <w:rPr>
                <w:color w:val="000000"/>
                <w:sz w:val="16"/>
                <w:szCs w:val="16"/>
              </w:rPr>
              <w:t>25/38</w:t>
            </w:r>
          </w:p>
        </w:tc>
        <w:tc>
          <w:tcPr>
            <w:tcW w:w="274" w:type="pct"/>
            <w:shd w:val="clear" w:color="auto" w:fill="F2F2F2" w:themeFill="background1" w:themeFillShade="F2"/>
            <w:noWrap/>
            <w:vAlign w:val="center"/>
            <w:hideMark/>
          </w:tcPr>
          <w:p w14:paraId="7DF8558F" w14:textId="77777777" w:rsidR="00F53AB2" w:rsidRPr="00E51207" w:rsidRDefault="00F53AB2" w:rsidP="003C3DAA">
            <w:pPr>
              <w:jc w:val="right"/>
              <w:rPr>
                <w:color w:val="000000"/>
                <w:sz w:val="16"/>
                <w:szCs w:val="16"/>
              </w:rPr>
            </w:pPr>
            <w:r w:rsidRPr="00E51207">
              <w:rPr>
                <w:color w:val="000000"/>
                <w:sz w:val="16"/>
                <w:szCs w:val="16"/>
              </w:rPr>
              <w:t>65,79%</w:t>
            </w:r>
          </w:p>
        </w:tc>
        <w:tc>
          <w:tcPr>
            <w:tcW w:w="274" w:type="pct"/>
            <w:shd w:val="clear" w:color="auto" w:fill="auto"/>
            <w:noWrap/>
            <w:vAlign w:val="center"/>
            <w:hideMark/>
          </w:tcPr>
          <w:p w14:paraId="3AF75931" w14:textId="77777777" w:rsidR="00F53AB2" w:rsidRPr="00E51207" w:rsidRDefault="00F53AB2" w:rsidP="003C3DAA">
            <w:pPr>
              <w:jc w:val="center"/>
              <w:rPr>
                <w:color w:val="000000"/>
                <w:sz w:val="16"/>
                <w:szCs w:val="16"/>
              </w:rPr>
            </w:pPr>
            <w:r w:rsidRPr="00E51207">
              <w:rPr>
                <w:color w:val="000000"/>
                <w:sz w:val="16"/>
                <w:szCs w:val="16"/>
              </w:rPr>
              <w:t>26/38</w:t>
            </w:r>
          </w:p>
        </w:tc>
        <w:tc>
          <w:tcPr>
            <w:tcW w:w="274" w:type="pct"/>
            <w:shd w:val="clear" w:color="auto" w:fill="auto"/>
            <w:noWrap/>
            <w:vAlign w:val="center"/>
            <w:hideMark/>
          </w:tcPr>
          <w:p w14:paraId="3E258B96" w14:textId="77777777" w:rsidR="00F53AB2" w:rsidRPr="00E51207" w:rsidRDefault="00F53AB2" w:rsidP="003C3DAA">
            <w:pPr>
              <w:jc w:val="right"/>
              <w:rPr>
                <w:color w:val="000000"/>
                <w:sz w:val="16"/>
                <w:szCs w:val="16"/>
              </w:rPr>
            </w:pPr>
            <w:r w:rsidRPr="00E51207">
              <w:rPr>
                <w:color w:val="000000"/>
                <w:sz w:val="16"/>
                <w:szCs w:val="16"/>
              </w:rPr>
              <w:t>68,42%</w:t>
            </w:r>
          </w:p>
        </w:tc>
        <w:tc>
          <w:tcPr>
            <w:tcW w:w="274" w:type="pct"/>
            <w:shd w:val="clear" w:color="auto" w:fill="F2F2F2" w:themeFill="background1" w:themeFillShade="F2"/>
            <w:noWrap/>
            <w:vAlign w:val="center"/>
            <w:hideMark/>
          </w:tcPr>
          <w:p w14:paraId="4168CAB7" w14:textId="77777777" w:rsidR="00F53AB2" w:rsidRPr="00E51207" w:rsidRDefault="00F53AB2" w:rsidP="003C3DAA">
            <w:pPr>
              <w:jc w:val="center"/>
              <w:rPr>
                <w:color w:val="000000"/>
                <w:sz w:val="16"/>
                <w:szCs w:val="16"/>
              </w:rPr>
            </w:pPr>
            <w:r w:rsidRPr="00E51207">
              <w:rPr>
                <w:color w:val="000000"/>
                <w:sz w:val="16"/>
                <w:szCs w:val="16"/>
              </w:rPr>
              <w:t>28/38</w:t>
            </w:r>
          </w:p>
        </w:tc>
        <w:tc>
          <w:tcPr>
            <w:tcW w:w="274" w:type="pct"/>
            <w:shd w:val="clear" w:color="auto" w:fill="F2F2F2" w:themeFill="background1" w:themeFillShade="F2"/>
            <w:noWrap/>
            <w:vAlign w:val="center"/>
            <w:hideMark/>
          </w:tcPr>
          <w:p w14:paraId="6C35A46C" w14:textId="77777777" w:rsidR="00F53AB2" w:rsidRPr="00E51207" w:rsidRDefault="00F53AB2" w:rsidP="003C3DAA">
            <w:pPr>
              <w:jc w:val="right"/>
              <w:rPr>
                <w:color w:val="000000"/>
                <w:sz w:val="16"/>
                <w:szCs w:val="16"/>
              </w:rPr>
            </w:pPr>
            <w:r w:rsidRPr="00E51207">
              <w:rPr>
                <w:color w:val="000000"/>
                <w:sz w:val="16"/>
                <w:szCs w:val="16"/>
              </w:rPr>
              <w:t>73,68%</w:t>
            </w:r>
          </w:p>
        </w:tc>
      </w:tr>
      <w:tr w:rsidR="00F53AB2" w:rsidRPr="007B3AE5" w14:paraId="062B952F" w14:textId="77777777" w:rsidTr="002263D5">
        <w:trPr>
          <w:trHeight w:val="290"/>
        </w:trPr>
        <w:tc>
          <w:tcPr>
            <w:tcW w:w="199" w:type="pct"/>
            <w:shd w:val="clear" w:color="auto" w:fill="auto"/>
            <w:noWrap/>
            <w:vAlign w:val="center"/>
            <w:hideMark/>
          </w:tcPr>
          <w:p w14:paraId="321ABD18" w14:textId="77777777" w:rsidR="00F53AB2" w:rsidRPr="00E51207" w:rsidRDefault="00F53AB2" w:rsidP="003C3DAA">
            <w:pPr>
              <w:jc w:val="right"/>
              <w:rPr>
                <w:color w:val="000000"/>
                <w:sz w:val="16"/>
                <w:szCs w:val="16"/>
              </w:rPr>
            </w:pPr>
            <w:r w:rsidRPr="00E51207">
              <w:rPr>
                <w:color w:val="000000"/>
                <w:sz w:val="16"/>
                <w:szCs w:val="16"/>
              </w:rPr>
              <w:t>43.</w:t>
            </w:r>
          </w:p>
        </w:tc>
        <w:tc>
          <w:tcPr>
            <w:tcW w:w="2060" w:type="pct"/>
            <w:shd w:val="clear" w:color="auto" w:fill="auto"/>
            <w:noWrap/>
            <w:vAlign w:val="center"/>
            <w:hideMark/>
          </w:tcPr>
          <w:p w14:paraId="46D50A66" w14:textId="77777777" w:rsidR="00F53AB2" w:rsidRPr="00E51207" w:rsidRDefault="00F53AB2" w:rsidP="003C3DAA">
            <w:pPr>
              <w:rPr>
                <w:color w:val="000000"/>
                <w:sz w:val="16"/>
                <w:szCs w:val="16"/>
              </w:rPr>
            </w:pPr>
            <w:r w:rsidRPr="00E51207">
              <w:rPr>
                <w:color w:val="000000"/>
                <w:sz w:val="16"/>
                <w:szCs w:val="16"/>
              </w:rPr>
              <w:t>Predsjedništvo BiH</w:t>
            </w:r>
          </w:p>
        </w:tc>
        <w:tc>
          <w:tcPr>
            <w:tcW w:w="274" w:type="pct"/>
            <w:shd w:val="clear" w:color="auto" w:fill="F2F2F2" w:themeFill="background1" w:themeFillShade="F2"/>
            <w:noWrap/>
            <w:vAlign w:val="center"/>
            <w:hideMark/>
          </w:tcPr>
          <w:p w14:paraId="75FCCC3C"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7E340A30"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2D77BEF6" w14:textId="77777777" w:rsidR="00F53AB2" w:rsidRPr="00E51207" w:rsidRDefault="00F53AB2" w:rsidP="003C3DAA">
            <w:pPr>
              <w:jc w:val="center"/>
              <w:rPr>
                <w:color w:val="000000"/>
                <w:sz w:val="16"/>
                <w:szCs w:val="16"/>
              </w:rPr>
            </w:pPr>
            <w:r w:rsidRPr="00E51207">
              <w:rPr>
                <w:color w:val="000000"/>
                <w:sz w:val="16"/>
                <w:szCs w:val="16"/>
              </w:rPr>
              <w:t>28/38</w:t>
            </w:r>
          </w:p>
        </w:tc>
        <w:tc>
          <w:tcPr>
            <w:tcW w:w="274" w:type="pct"/>
            <w:shd w:val="clear" w:color="auto" w:fill="auto"/>
            <w:noWrap/>
            <w:vAlign w:val="center"/>
            <w:hideMark/>
          </w:tcPr>
          <w:p w14:paraId="65E5B004" w14:textId="77777777" w:rsidR="00F53AB2" w:rsidRPr="00E51207" w:rsidRDefault="00F53AB2" w:rsidP="003C3DAA">
            <w:pPr>
              <w:jc w:val="right"/>
              <w:rPr>
                <w:color w:val="000000"/>
                <w:sz w:val="16"/>
                <w:szCs w:val="16"/>
              </w:rPr>
            </w:pPr>
            <w:r w:rsidRPr="00E51207">
              <w:rPr>
                <w:color w:val="000000"/>
                <w:sz w:val="16"/>
                <w:szCs w:val="16"/>
              </w:rPr>
              <w:t>73,68%</w:t>
            </w:r>
          </w:p>
        </w:tc>
        <w:tc>
          <w:tcPr>
            <w:tcW w:w="274" w:type="pct"/>
            <w:shd w:val="clear" w:color="auto" w:fill="F2F2F2" w:themeFill="background1" w:themeFillShade="F2"/>
            <w:noWrap/>
            <w:vAlign w:val="center"/>
            <w:hideMark/>
          </w:tcPr>
          <w:p w14:paraId="379E82B0" w14:textId="77777777" w:rsidR="00F53AB2" w:rsidRPr="00E51207" w:rsidRDefault="00F53AB2" w:rsidP="003C3DAA">
            <w:pPr>
              <w:jc w:val="center"/>
              <w:rPr>
                <w:color w:val="000000"/>
                <w:sz w:val="16"/>
                <w:szCs w:val="16"/>
              </w:rPr>
            </w:pPr>
            <w:r w:rsidRPr="00E51207">
              <w:rPr>
                <w:color w:val="000000"/>
                <w:sz w:val="16"/>
                <w:szCs w:val="16"/>
              </w:rPr>
              <w:t>28/38</w:t>
            </w:r>
          </w:p>
        </w:tc>
        <w:tc>
          <w:tcPr>
            <w:tcW w:w="274" w:type="pct"/>
            <w:shd w:val="clear" w:color="auto" w:fill="F2F2F2" w:themeFill="background1" w:themeFillShade="F2"/>
            <w:noWrap/>
            <w:vAlign w:val="center"/>
            <w:hideMark/>
          </w:tcPr>
          <w:p w14:paraId="57086FBB" w14:textId="77777777" w:rsidR="00F53AB2" w:rsidRPr="00E51207" w:rsidRDefault="00F53AB2" w:rsidP="003C3DAA">
            <w:pPr>
              <w:jc w:val="right"/>
              <w:rPr>
                <w:color w:val="000000"/>
                <w:sz w:val="16"/>
                <w:szCs w:val="16"/>
              </w:rPr>
            </w:pPr>
            <w:r w:rsidRPr="00E51207">
              <w:rPr>
                <w:color w:val="000000"/>
                <w:sz w:val="16"/>
                <w:szCs w:val="16"/>
              </w:rPr>
              <w:t>73,68%</w:t>
            </w:r>
          </w:p>
        </w:tc>
        <w:tc>
          <w:tcPr>
            <w:tcW w:w="274" w:type="pct"/>
            <w:shd w:val="clear" w:color="auto" w:fill="auto"/>
            <w:noWrap/>
            <w:vAlign w:val="center"/>
            <w:hideMark/>
          </w:tcPr>
          <w:p w14:paraId="79B331F2" w14:textId="77777777" w:rsidR="00F53AB2" w:rsidRPr="00E51207" w:rsidRDefault="00F53AB2" w:rsidP="003C3DAA">
            <w:pPr>
              <w:jc w:val="center"/>
              <w:rPr>
                <w:color w:val="000000"/>
                <w:sz w:val="16"/>
                <w:szCs w:val="16"/>
              </w:rPr>
            </w:pPr>
            <w:r w:rsidRPr="00E51207">
              <w:rPr>
                <w:color w:val="000000"/>
                <w:sz w:val="16"/>
                <w:szCs w:val="16"/>
              </w:rPr>
              <w:t>28/38</w:t>
            </w:r>
          </w:p>
        </w:tc>
        <w:tc>
          <w:tcPr>
            <w:tcW w:w="274" w:type="pct"/>
            <w:shd w:val="clear" w:color="auto" w:fill="auto"/>
            <w:noWrap/>
            <w:vAlign w:val="center"/>
            <w:hideMark/>
          </w:tcPr>
          <w:p w14:paraId="6A900906" w14:textId="77777777" w:rsidR="00F53AB2" w:rsidRPr="00E51207" w:rsidRDefault="00F53AB2" w:rsidP="003C3DAA">
            <w:pPr>
              <w:jc w:val="right"/>
              <w:rPr>
                <w:color w:val="000000"/>
                <w:sz w:val="16"/>
                <w:szCs w:val="16"/>
              </w:rPr>
            </w:pPr>
            <w:r w:rsidRPr="00E51207">
              <w:rPr>
                <w:color w:val="000000"/>
                <w:sz w:val="16"/>
                <w:szCs w:val="16"/>
              </w:rPr>
              <w:t>73,68%</w:t>
            </w:r>
          </w:p>
        </w:tc>
        <w:tc>
          <w:tcPr>
            <w:tcW w:w="274" w:type="pct"/>
            <w:shd w:val="clear" w:color="auto" w:fill="F2F2F2" w:themeFill="background1" w:themeFillShade="F2"/>
            <w:noWrap/>
            <w:vAlign w:val="center"/>
            <w:hideMark/>
          </w:tcPr>
          <w:p w14:paraId="32B70B9D" w14:textId="77777777" w:rsidR="00F53AB2" w:rsidRPr="00E51207" w:rsidRDefault="00F53AB2" w:rsidP="003C3DAA">
            <w:pPr>
              <w:jc w:val="center"/>
              <w:rPr>
                <w:color w:val="000000"/>
                <w:sz w:val="16"/>
                <w:szCs w:val="16"/>
              </w:rPr>
            </w:pPr>
            <w:r w:rsidRPr="00E51207">
              <w:rPr>
                <w:color w:val="000000"/>
                <w:sz w:val="16"/>
                <w:szCs w:val="16"/>
              </w:rPr>
              <w:t>28/38</w:t>
            </w:r>
          </w:p>
        </w:tc>
        <w:tc>
          <w:tcPr>
            <w:tcW w:w="274" w:type="pct"/>
            <w:shd w:val="clear" w:color="auto" w:fill="F2F2F2" w:themeFill="background1" w:themeFillShade="F2"/>
            <w:noWrap/>
            <w:vAlign w:val="center"/>
            <w:hideMark/>
          </w:tcPr>
          <w:p w14:paraId="3345571C" w14:textId="77777777" w:rsidR="00F53AB2" w:rsidRPr="00E51207" w:rsidRDefault="00F53AB2" w:rsidP="003C3DAA">
            <w:pPr>
              <w:jc w:val="right"/>
              <w:rPr>
                <w:color w:val="000000"/>
                <w:sz w:val="16"/>
                <w:szCs w:val="16"/>
              </w:rPr>
            </w:pPr>
            <w:r w:rsidRPr="00E51207">
              <w:rPr>
                <w:color w:val="000000"/>
                <w:sz w:val="16"/>
                <w:szCs w:val="16"/>
              </w:rPr>
              <w:t>73,68%</w:t>
            </w:r>
          </w:p>
        </w:tc>
      </w:tr>
      <w:tr w:rsidR="00F53AB2" w:rsidRPr="007B3AE5" w14:paraId="1C9CAFAA" w14:textId="77777777" w:rsidTr="002263D5">
        <w:trPr>
          <w:trHeight w:val="290"/>
        </w:trPr>
        <w:tc>
          <w:tcPr>
            <w:tcW w:w="199" w:type="pct"/>
            <w:shd w:val="clear" w:color="auto" w:fill="auto"/>
            <w:noWrap/>
            <w:vAlign w:val="center"/>
            <w:hideMark/>
          </w:tcPr>
          <w:p w14:paraId="5106CE8A" w14:textId="77777777" w:rsidR="00F53AB2" w:rsidRPr="00E51207" w:rsidRDefault="00F53AB2" w:rsidP="003C3DAA">
            <w:pPr>
              <w:jc w:val="right"/>
              <w:rPr>
                <w:color w:val="000000"/>
                <w:sz w:val="16"/>
                <w:szCs w:val="16"/>
              </w:rPr>
            </w:pPr>
            <w:r w:rsidRPr="00E51207">
              <w:rPr>
                <w:color w:val="000000"/>
                <w:sz w:val="16"/>
                <w:szCs w:val="16"/>
              </w:rPr>
              <w:t>44.</w:t>
            </w:r>
          </w:p>
        </w:tc>
        <w:tc>
          <w:tcPr>
            <w:tcW w:w="2060" w:type="pct"/>
            <w:shd w:val="clear" w:color="auto" w:fill="auto"/>
            <w:noWrap/>
            <w:vAlign w:val="center"/>
            <w:hideMark/>
          </w:tcPr>
          <w:p w14:paraId="0D2E7341" w14:textId="77777777" w:rsidR="00F53AB2" w:rsidRPr="00E51207" w:rsidRDefault="00F53AB2" w:rsidP="003C3DAA">
            <w:pPr>
              <w:rPr>
                <w:color w:val="000000"/>
                <w:sz w:val="16"/>
                <w:szCs w:val="16"/>
              </w:rPr>
            </w:pPr>
            <w:r w:rsidRPr="00E51207">
              <w:rPr>
                <w:color w:val="000000"/>
                <w:sz w:val="16"/>
                <w:szCs w:val="16"/>
              </w:rPr>
              <w:t>Regulatorna agencija za komunikacije BiH</w:t>
            </w:r>
          </w:p>
        </w:tc>
        <w:tc>
          <w:tcPr>
            <w:tcW w:w="274" w:type="pct"/>
            <w:shd w:val="clear" w:color="auto" w:fill="F2F2F2" w:themeFill="background1" w:themeFillShade="F2"/>
            <w:noWrap/>
            <w:vAlign w:val="center"/>
            <w:hideMark/>
          </w:tcPr>
          <w:p w14:paraId="4A084666" w14:textId="77777777" w:rsidR="00F53AB2" w:rsidRPr="00E51207" w:rsidRDefault="00F53AB2" w:rsidP="003C3DAA">
            <w:pPr>
              <w:jc w:val="center"/>
              <w:rPr>
                <w:color w:val="000000"/>
                <w:sz w:val="16"/>
                <w:szCs w:val="16"/>
              </w:rPr>
            </w:pPr>
            <w:r w:rsidRPr="00E51207">
              <w:rPr>
                <w:color w:val="000000"/>
                <w:sz w:val="16"/>
                <w:szCs w:val="16"/>
              </w:rPr>
              <w:t>23/38</w:t>
            </w:r>
          </w:p>
        </w:tc>
        <w:tc>
          <w:tcPr>
            <w:tcW w:w="274" w:type="pct"/>
            <w:shd w:val="clear" w:color="auto" w:fill="F2F2F2" w:themeFill="background1" w:themeFillShade="F2"/>
            <w:noWrap/>
            <w:vAlign w:val="center"/>
            <w:hideMark/>
          </w:tcPr>
          <w:p w14:paraId="3A81A354" w14:textId="77777777" w:rsidR="00F53AB2" w:rsidRPr="00E51207" w:rsidRDefault="00F53AB2" w:rsidP="003C3DAA">
            <w:pPr>
              <w:jc w:val="right"/>
              <w:rPr>
                <w:color w:val="000000"/>
                <w:sz w:val="16"/>
                <w:szCs w:val="16"/>
              </w:rPr>
            </w:pPr>
            <w:r w:rsidRPr="00E51207">
              <w:rPr>
                <w:color w:val="000000"/>
                <w:sz w:val="16"/>
                <w:szCs w:val="16"/>
              </w:rPr>
              <w:t>60,53%</w:t>
            </w:r>
          </w:p>
        </w:tc>
        <w:tc>
          <w:tcPr>
            <w:tcW w:w="274" w:type="pct"/>
            <w:shd w:val="clear" w:color="auto" w:fill="auto"/>
            <w:noWrap/>
            <w:vAlign w:val="center"/>
            <w:hideMark/>
          </w:tcPr>
          <w:p w14:paraId="1A63930D" w14:textId="77777777" w:rsidR="00F53AB2" w:rsidRPr="00E51207" w:rsidRDefault="00F53AB2" w:rsidP="003C3DAA">
            <w:pPr>
              <w:jc w:val="center"/>
              <w:rPr>
                <w:color w:val="000000"/>
                <w:sz w:val="16"/>
                <w:szCs w:val="16"/>
              </w:rPr>
            </w:pPr>
            <w:r w:rsidRPr="00E51207">
              <w:rPr>
                <w:color w:val="000000"/>
                <w:sz w:val="16"/>
                <w:szCs w:val="16"/>
              </w:rPr>
              <w:t>23/38</w:t>
            </w:r>
          </w:p>
        </w:tc>
        <w:tc>
          <w:tcPr>
            <w:tcW w:w="274" w:type="pct"/>
            <w:shd w:val="clear" w:color="auto" w:fill="auto"/>
            <w:noWrap/>
            <w:vAlign w:val="center"/>
            <w:hideMark/>
          </w:tcPr>
          <w:p w14:paraId="790D22C6" w14:textId="77777777" w:rsidR="00F53AB2" w:rsidRPr="00E51207" w:rsidRDefault="00F53AB2" w:rsidP="003C3DAA">
            <w:pPr>
              <w:jc w:val="right"/>
              <w:rPr>
                <w:color w:val="000000"/>
                <w:sz w:val="16"/>
                <w:szCs w:val="16"/>
              </w:rPr>
            </w:pPr>
            <w:r w:rsidRPr="00E51207">
              <w:rPr>
                <w:color w:val="000000"/>
                <w:sz w:val="16"/>
                <w:szCs w:val="16"/>
              </w:rPr>
              <w:t>60,53%</w:t>
            </w:r>
          </w:p>
        </w:tc>
        <w:tc>
          <w:tcPr>
            <w:tcW w:w="274" w:type="pct"/>
            <w:shd w:val="clear" w:color="auto" w:fill="F2F2F2" w:themeFill="background1" w:themeFillShade="F2"/>
            <w:noWrap/>
            <w:vAlign w:val="center"/>
            <w:hideMark/>
          </w:tcPr>
          <w:p w14:paraId="07FC09F5" w14:textId="77777777" w:rsidR="00F53AB2" w:rsidRPr="00E51207" w:rsidRDefault="00F53AB2" w:rsidP="003C3DAA">
            <w:pPr>
              <w:jc w:val="center"/>
              <w:rPr>
                <w:color w:val="000000"/>
                <w:sz w:val="16"/>
                <w:szCs w:val="16"/>
              </w:rPr>
            </w:pPr>
            <w:r w:rsidRPr="00E51207">
              <w:rPr>
                <w:color w:val="000000"/>
                <w:sz w:val="16"/>
                <w:szCs w:val="16"/>
              </w:rPr>
              <w:t>25/38</w:t>
            </w:r>
          </w:p>
        </w:tc>
        <w:tc>
          <w:tcPr>
            <w:tcW w:w="274" w:type="pct"/>
            <w:shd w:val="clear" w:color="auto" w:fill="F2F2F2" w:themeFill="background1" w:themeFillShade="F2"/>
            <w:noWrap/>
            <w:vAlign w:val="center"/>
            <w:hideMark/>
          </w:tcPr>
          <w:p w14:paraId="6B16B193" w14:textId="77777777" w:rsidR="00F53AB2" w:rsidRPr="00E51207" w:rsidRDefault="00F53AB2" w:rsidP="003C3DAA">
            <w:pPr>
              <w:jc w:val="right"/>
              <w:rPr>
                <w:color w:val="000000"/>
                <w:sz w:val="16"/>
                <w:szCs w:val="16"/>
              </w:rPr>
            </w:pPr>
            <w:r w:rsidRPr="00E51207">
              <w:rPr>
                <w:color w:val="000000"/>
                <w:sz w:val="16"/>
                <w:szCs w:val="16"/>
              </w:rPr>
              <w:t>65,79%</w:t>
            </w:r>
          </w:p>
        </w:tc>
        <w:tc>
          <w:tcPr>
            <w:tcW w:w="274" w:type="pct"/>
            <w:shd w:val="clear" w:color="auto" w:fill="auto"/>
            <w:noWrap/>
            <w:vAlign w:val="center"/>
            <w:hideMark/>
          </w:tcPr>
          <w:p w14:paraId="60A74FBC" w14:textId="77777777" w:rsidR="00F53AB2" w:rsidRPr="00E51207" w:rsidRDefault="00F53AB2" w:rsidP="003C3DAA">
            <w:pPr>
              <w:jc w:val="center"/>
              <w:rPr>
                <w:color w:val="000000"/>
                <w:sz w:val="16"/>
                <w:szCs w:val="16"/>
              </w:rPr>
            </w:pPr>
            <w:r w:rsidRPr="00E51207">
              <w:rPr>
                <w:color w:val="000000"/>
                <w:sz w:val="16"/>
                <w:szCs w:val="16"/>
              </w:rPr>
              <w:t>28/38</w:t>
            </w:r>
          </w:p>
        </w:tc>
        <w:tc>
          <w:tcPr>
            <w:tcW w:w="274" w:type="pct"/>
            <w:shd w:val="clear" w:color="auto" w:fill="auto"/>
            <w:noWrap/>
            <w:vAlign w:val="center"/>
            <w:hideMark/>
          </w:tcPr>
          <w:p w14:paraId="0DAAB88A" w14:textId="77777777" w:rsidR="00F53AB2" w:rsidRPr="00E51207" w:rsidRDefault="00F53AB2" w:rsidP="003C3DAA">
            <w:pPr>
              <w:jc w:val="right"/>
              <w:rPr>
                <w:color w:val="000000"/>
                <w:sz w:val="16"/>
                <w:szCs w:val="16"/>
              </w:rPr>
            </w:pPr>
            <w:r w:rsidRPr="00E51207">
              <w:rPr>
                <w:color w:val="000000"/>
                <w:sz w:val="16"/>
                <w:szCs w:val="16"/>
              </w:rPr>
              <w:t>73,68%</w:t>
            </w:r>
          </w:p>
        </w:tc>
        <w:tc>
          <w:tcPr>
            <w:tcW w:w="274" w:type="pct"/>
            <w:shd w:val="clear" w:color="auto" w:fill="F2F2F2" w:themeFill="background1" w:themeFillShade="F2"/>
            <w:noWrap/>
            <w:vAlign w:val="center"/>
            <w:hideMark/>
          </w:tcPr>
          <w:p w14:paraId="6976466B" w14:textId="77777777" w:rsidR="00F53AB2" w:rsidRPr="00E51207" w:rsidRDefault="00F53AB2" w:rsidP="003C3DAA">
            <w:pPr>
              <w:jc w:val="center"/>
              <w:rPr>
                <w:color w:val="000000"/>
                <w:sz w:val="16"/>
                <w:szCs w:val="16"/>
              </w:rPr>
            </w:pPr>
            <w:r w:rsidRPr="00E51207">
              <w:rPr>
                <w:color w:val="000000"/>
                <w:sz w:val="16"/>
                <w:szCs w:val="16"/>
              </w:rPr>
              <w:t>29/38</w:t>
            </w:r>
          </w:p>
        </w:tc>
        <w:tc>
          <w:tcPr>
            <w:tcW w:w="274" w:type="pct"/>
            <w:shd w:val="clear" w:color="auto" w:fill="F2F2F2" w:themeFill="background1" w:themeFillShade="F2"/>
            <w:noWrap/>
            <w:vAlign w:val="center"/>
            <w:hideMark/>
          </w:tcPr>
          <w:p w14:paraId="7978713A" w14:textId="77777777" w:rsidR="00F53AB2" w:rsidRPr="00E51207" w:rsidRDefault="00F53AB2" w:rsidP="003C3DAA">
            <w:pPr>
              <w:jc w:val="right"/>
              <w:rPr>
                <w:color w:val="000000"/>
                <w:sz w:val="16"/>
                <w:szCs w:val="16"/>
              </w:rPr>
            </w:pPr>
            <w:r w:rsidRPr="00E51207">
              <w:rPr>
                <w:color w:val="000000"/>
                <w:sz w:val="16"/>
                <w:szCs w:val="16"/>
              </w:rPr>
              <w:t>76,32%</w:t>
            </w:r>
          </w:p>
        </w:tc>
      </w:tr>
      <w:tr w:rsidR="00F53AB2" w:rsidRPr="007B3AE5" w14:paraId="6F8BBC12" w14:textId="77777777" w:rsidTr="002263D5">
        <w:trPr>
          <w:trHeight w:val="290"/>
        </w:trPr>
        <w:tc>
          <w:tcPr>
            <w:tcW w:w="199" w:type="pct"/>
            <w:shd w:val="clear" w:color="auto" w:fill="auto"/>
            <w:noWrap/>
            <w:vAlign w:val="center"/>
            <w:hideMark/>
          </w:tcPr>
          <w:p w14:paraId="420BCE52" w14:textId="77777777" w:rsidR="00F53AB2" w:rsidRPr="00E51207" w:rsidRDefault="00F53AB2" w:rsidP="003C3DAA">
            <w:pPr>
              <w:jc w:val="right"/>
              <w:rPr>
                <w:color w:val="000000"/>
                <w:sz w:val="16"/>
                <w:szCs w:val="16"/>
              </w:rPr>
            </w:pPr>
            <w:r w:rsidRPr="00E51207">
              <w:rPr>
                <w:color w:val="000000"/>
                <w:sz w:val="16"/>
                <w:szCs w:val="16"/>
              </w:rPr>
              <w:t>45.</w:t>
            </w:r>
          </w:p>
        </w:tc>
        <w:tc>
          <w:tcPr>
            <w:tcW w:w="2060" w:type="pct"/>
            <w:shd w:val="clear" w:color="auto" w:fill="auto"/>
            <w:noWrap/>
            <w:vAlign w:val="center"/>
            <w:hideMark/>
          </w:tcPr>
          <w:p w14:paraId="59F6F727" w14:textId="77777777" w:rsidR="00F53AB2" w:rsidRPr="00E51207" w:rsidRDefault="00F53AB2" w:rsidP="003C3DAA">
            <w:pPr>
              <w:rPr>
                <w:color w:val="000000"/>
                <w:sz w:val="16"/>
                <w:szCs w:val="16"/>
              </w:rPr>
            </w:pPr>
            <w:r w:rsidRPr="00E51207">
              <w:rPr>
                <w:color w:val="000000"/>
                <w:sz w:val="16"/>
                <w:szCs w:val="16"/>
              </w:rPr>
              <w:t>Direkcija za ekonomsko planiranje BiH</w:t>
            </w:r>
          </w:p>
        </w:tc>
        <w:tc>
          <w:tcPr>
            <w:tcW w:w="274" w:type="pct"/>
            <w:shd w:val="clear" w:color="auto" w:fill="F2F2F2" w:themeFill="background1" w:themeFillShade="F2"/>
            <w:noWrap/>
            <w:vAlign w:val="center"/>
            <w:hideMark/>
          </w:tcPr>
          <w:p w14:paraId="72748B6D"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7C15C2E4"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69E28D0D" w14:textId="77777777" w:rsidR="00F53AB2" w:rsidRPr="00E51207" w:rsidRDefault="00F53AB2" w:rsidP="003C3DAA">
            <w:pPr>
              <w:jc w:val="center"/>
              <w:rPr>
                <w:color w:val="000000"/>
                <w:sz w:val="16"/>
                <w:szCs w:val="16"/>
              </w:rPr>
            </w:pPr>
            <w:r w:rsidRPr="00E51207">
              <w:rPr>
                <w:color w:val="000000"/>
                <w:sz w:val="16"/>
                <w:szCs w:val="16"/>
              </w:rPr>
              <w:t>22/38</w:t>
            </w:r>
          </w:p>
        </w:tc>
        <w:tc>
          <w:tcPr>
            <w:tcW w:w="274" w:type="pct"/>
            <w:shd w:val="clear" w:color="auto" w:fill="auto"/>
            <w:noWrap/>
            <w:vAlign w:val="center"/>
            <w:hideMark/>
          </w:tcPr>
          <w:p w14:paraId="334A1F0A" w14:textId="77777777" w:rsidR="00F53AB2" w:rsidRPr="00E51207" w:rsidRDefault="00F53AB2" w:rsidP="003C3DAA">
            <w:pPr>
              <w:jc w:val="right"/>
              <w:rPr>
                <w:color w:val="000000"/>
                <w:sz w:val="16"/>
                <w:szCs w:val="16"/>
              </w:rPr>
            </w:pPr>
            <w:r w:rsidRPr="00E51207">
              <w:rPr>
                <w:color w:val="000000"/>
                <w:sz w:val="16"/>
                <w:szCs w:val="16"/>
              </w:rPr>
              <w:t>57,89%</w:t>
            </w:r>
          </w:p>
        </w:tc>
        <w:tc>
          <w:tcPr>
            <w:tcW w:w="274" w:type="pct"/>
            <w:shd w:val="clear" w:color="auto" w:fill="F2F2F2" w:themeFill="background1" w:themeFillShade="F2"/>
            <w:noWrap/>
            <w:vAlign w:val="center"/>
            <w:hideMark/>
          </w:tcPr>
          <w:p w14:paraId="3D958B04" w14:textId="77777777" w:rsidR="00F53AB2" w:rsidRPr="00E51207" w:rsidRDefault="00F53AB2" w:rsidP="003C3DAA">
            <w:pPr>
              <w:jc w:val="center"/>
              <w:rPr>
                <w:color w:val="000000"/>
                <w:sz w:val="16"/>
                <w:szCs w:val="16"/>
              </w:rPr>
            </w:pPr>
            <w:r w:rsidRPr="00E51207">
              <w:rPr>
                <w:color w:val="000000"/>
                <w:sz w:val="16"/>
                <w:szCs w:val="16"/>
              </w:rPr>
              <w:t>20/38</w:t>
            </w:r>
          </w:p>
        </w:tc>
        <w:tc>
          <w:tcPr>
            <w:tcW w:w="274" w:type="pct"/>
            <w:shd w:val="clear" w:color="auto" w:fill="F2F2F2" w:themeFill="background1" w:themeFillShade="F2"/>
            <w:noWrap/>
            <w:vAlign w:val="center"/>
            <w:hideMark/>
          </w:tcPr>
          <w:p w14:paraId="2D02DDC3" w14:textId="77777777" w:rsidR="00F53AB2" w:rsidRPr="00E51207" w:rsidRDefault="00F53AB2" w:rsidP="003C3DAA">
            <w:pPr>
              <w:jc w:val="right"/>
              <w:rPr>
                <w:color w:val="000000"/>
                <w:sz w:val="16"/>
                <w:szCs w:val="16"/>
              </w:rPr>
            </w:pPr>
            <w:r w:rsidRPr="00E51207">
              <w:rPr>
                <w:color w:val="000000"/>
                <w:sz w:val="16"/>
                <w:szCs w:val="16"/>
              </w:rPr>
              <w:t>52,63%</w:t>
            </w:r>
          </w:p>
        </w:tc>
        <w:tc>
          <w:tcPr>
            <w:tcW w:w="274" w:type="pct"/>
            <w:shd w:val="clear" w:color="auto" w:fill="auto"/>
            <w:noWrap/>
            <w:vAlign w:val="center"/>
            <w:hideMark/>
          </w:tcPr>
          <w:p w14:paraId="62025C5A" w14:textId="77777777" w:rsidR="00F53AB2" w:rsidRPr="00E51207" w:rsidRDefault="00F53AB2" w:rsidP="003C3DAA">
            <w:pPr>
              <w:jc w:val="center"/>
              <w:rPr>
                <w:color w:val="000000"/>
                <w:sz w:val="16"/>
                <w:szCs w:val="16"/>
              </w:rPr>
            </w:pPr>
            <w:r w:rsidRPr="00E51207">
              <w:rPr>
                <w:color w:val="000000"/>
                <w:sz w:val="16"/>
                <w:szCs w:val="16"/>
              </w:rPr>
              <w:t>25/38</w:t>
            </w:r>
          </w:p>
        </w:tc>
        <w:tc>
          <w:tcPr>
            <w:tcW w:w="274" w:type="pct"/>
            <w:shd w:val="clear" w:color="auto" w:fill="auto"/>
            <w:noWrap/>
            <w:vAlign w:val="center"/>
            <w:hideMark/>
          </w:tcPr>
          <w:p w14:paraId="0F9DD2B9" w14:textId="77777777" w:rsidR="00F53AB2" w:rsidRPr="00E51207" w:rsidRDefault="00F53AB2" w:rsidP="003C3DAA">
            <w:pPr>
              <w:jc w:val="right"/>
              <w:rPr>
                <w:color w:val="000000"/>
                <w:sz w:val="16"/>
                <w:szCs w:val="16"/>
              </w:rPr>
            </w:pPr>
            <w:r w:rsidRPr="00E51207">
              <w:rPr>
                <w:color w:val="000000"/>
                <w:sz w:val="16"/>
                <w:szCs w:val="16"/>
              </w:rPr>
              <w:t>65,79%</w:t>
            </w:r>
          </w:p>
        </w:tc>
        <w:tc>
          <w:tcPr>
            <w:tcW w:w="274" w:type="pct"/>
            <w:shd w:val="clear" w:color="auto" w:fill="F2F2F2" w:themeFill="background1" w:themeFillShade="F2"/>
            <w:noWrap/>
            <w:vAlign w:val="center"/>
            <w:hideMark/>
          </w:tcPr>
          <w:p w14:paraId="34A9B782" w14:textId="77777777" w:rsidR="00F53AB2" w:rsidRPr="00E51207" w:rsidRDefault="00F53AB2" w:rsidP="003C3DAA">
            <w:pPr>
              <w:jc w:val="center"/>
              <w:rPr>
                <w:color w:val="000000"/>
                <w:sz w:val="16"/>
                <w:szCs w:val="16"/>
              </w:rPr>
            </w:pPr>
            <w:r w:rsidRPr="00E51207">
              <w:rPr>
                <w:color w:val="000000"/>
                <w:sz w:val="16"/>
                <w:szCs w:val="16"/>
              </w:rPr>
              <w:t>30/38</w:t>
            </w:r>
          </w:p>
        </w:tc>
        <w:tc>
          <w:tcPr>
            <w:tcW w:w="274" w:type="pct"/>
            <w:shd w:val="clear" w:color="auto" w:fill="F2F2F2" w:themeFill="background1" w:themeFillShade="F2"/>
            <w:noWrap/>
            <w:vAlign w:val="center"/>
            <w:hideMark/>
          </w:tcPr>
          <w:p w14:paraId="6DF1C7D2" w14:textId="77777777" w:rsidR="00F53AB2" w:rsidRPr="00E51207" w:rsidRDefault="00F53AB2" w:rsidP="003C3DAA">
            <w:pPr>
              <w:jc w:val="right"/>
              <w:rPr>
                <w:color w:val="000000"/>
                <w:sz w:val="16"/>
                <w:szCs w:val="16"/>
              </w:rPr>
            </w:pPr>
            <w:r w:rsidRPr="00E51207">
              <w:rPr>
                <w:color w:val="000000"/>
                <w:sz w:val="16"/>
                <w:szCs w:val="16"/>
              </w:rPr>
              <w:t>78,95%</w:t>
            </w:r>
          </w:p>
        </w:tc>
      </w:tr>
      <w:tr w:rsidR="00F53AB2" w:rsidRPr="007B3AE5" w14:paraId="5A0F608E" w14:textId="77777777" w:rsidTr="002263D5">
        <w:trPr>
          <w:trHeight w:val="290"/>
        </w:trPr>
        <w:tc>
          <w:tcPr>
            <w:tcW w:w="199" w:type="pct"/>
            <w:shd w:val="clear" w:color="auto" w:fill="auto"/>
            <w:noWrap/>
            <w:vAlign w:val="center"/>
            <w:hideMark/>
          </w:tcPr>
          <w:p w14:paraId="5EBAF73F" w14:textId="77777777" w:rsidR="00F53AB2" w:rsidRPr="00E51207" w:rsidRDefault="00F53AB2" w:rsidP="003C3DAA">
            <w:pPr>
              <w:jc w:val="right"/>
              <w:rPr>
                <w:color w:val="000000"/>
                <w:sz w:val="16"/>
                <w:szCs w:val="16"/>
              </w:rPr>
            </w:pPr>
            <w:r w:rsidRPr="00E51207">
              <w:rPr>
                <w:color w:val="000000"/>
                <w:sz w:val="16"/>
                <w:szCs w:val="16"/>
              </w:rPr>
              <w:t>46.</w:t>
            </w:r>
          </w:p>
        </w:tc>
        <w:tc>
          <w:tcPr>
            <w:tcW w:w="2060" w:type="pct"/>
            <w:shd w:val="clear" w:color="auto" w:fill="auto"/>
            <w:noWrap/>
            <w:vAlign w:val="center"/>
            <w:hideMark/>
          </w:tcPr>
          <w:p w14:paraId="45AC1DB4" w14:textId="77777777" w:rsidR="00F53AB2" w:rsidRPr="00E51207" w:rsidRDefault="00F53AB2" w:rsidP="003C3DAA">
            <w:pPr>
              <w:rPr>
                <w:color w:val="000000"/>
                <w:sz w:val="16"/>
                <w:szCs w:val="16"/>
              </w:rPr>
            </w:pPr>
            <w:r w:rsidRPr="00E51207">
              <w:rPr>
                <w:color w:val="000000"/>
                <w:sz w:val="16"/>
                <w:szCs w:val="16"/>
              </w:rPr>
              <w:t>Institucija ombudsmena za ljudska prava BiH</w:t>
            </w:r>
          </w:p>
        </w:tc>
        <w:tc>
          <w:tcPr>
            <w:tcW w:w="274" w:type="pct"/>
            <w:shd w:val="clear" w:color="auto" w:fill="F2F2F2" w:themeFill="background1" w:themeFillShade="F2"/>
            <w:noWrap/>
            <w:vAlign w:val="center"/>
            <w:hideMark/>
          </w:tcPr>
          <w:p w14:paraId="76FC58DB" w14:textId="77777777" w:rsidR="00F53AB2" w:rsidRPr="00E51207" w:rsidRDefault="00F53AB2" w:rsidP="003C3DAA">
            <w:pPr>
              <w:jc w:val="center"/>
              <w:rPr>
                <w:color w:val="000000"/>
                <w:sz w:val="16"/>
                <w:szCs w:val="16"/>
              </w:rPr>
            </w:pPr>
            <w:r w:rsidRPr="00E51207">
              <w:rPr>
                <w:color w:val="000000"/>
                <w:sz w:val="16"/>
                <w:szCs w:val="16"/>
              </w:rPr>
              <w:t>18/38</w:t>
            </w:r>
          </w:p>
        </w:tc>
        <w:tc>
          <w:tcPr>
            <w:tcW w:w="274" w:type="pct"/>
            <w:shd w:val="clear" w:color="auto" w:fill="F2F2F2" w:themeFill="background1" w:themeFillShade="F2"/>
            <w:noWrap/>
            <w:vAlign w:val="center"/>
            <w:hideMark/>
          </w:tcPr>
          <w:p w14:paraId="49E9BAED" w14:textId="77777777" w:rsidR="00F53AB2" w:rsidRPr="00E51207" w:rsidRDefault="00F53AB2" w:rsidP="003C3DAA">
            <w:pPr>
              <w:jc w:val="right"/>
              <w:rPr>
                <w:color w:val="000000"/>
                <w:sz w:val="16"/>
                <w:szCs w:val="16"/>
              </w:rPr>
            </w:pPr>
            <w:r w:rsidRPr="00E51207">
              <w:rPr>
                <w:color w:val="000000"/>
                <w:sz w:val="16"/>
                <w:szCs w:val="16"/>
              </w:rPr>
              <w:t>47,37%</w:t>
            </w:r>
          </w:p>
        </w:tc>
        <w:tc>
          <w:tcPr>
            <w:tcW w:w="274" w:type="pct"/>
            <w:shd w:val="clear" w:color="auto" w:fill="auto"/>
            <w:noWrap/>
            <w:vAlign w:val="center"/>
            <w:hideMark/>
          </w:tcPr>
          <w:p w14:paraId="26B4E932" w14:textId="77777777" w:rsidR="00F53AB2" w:rsidRPr="00E51207" w:rsidRDefault="00F53AB2" w:rsidP="003C3DAA">
            <w:pPr>
              <w:jc w:val="center"/>
              <w:rPr>
                <w:color w:val="000000"/>
                <w:sz w:val="16"/>
                <w:szCs w:val="16"/>
              </w:rPr>
            </w:pPr>
            <w:r w:rsidRPr="00E51207">
              <w:rPr>
                <w:color w:val="000000"/>
                <w:sz w:val="16"/>
                <w:szCs w:val="16"/>
              </w:rPr>
              <w:t>27/38</w:t>
            </w:r>
          </w:p>
        </w:tc>
        <w:tc>
          <w:tcPr>
            <w:tcW w:w="274" w:type="pct"/>
            <w:shd w:val="clear" w:color="auto" w:fill="auto"/>
            <w:noWrap/>
            <w:vAlign w:val="center"/>
            <w:hideMark/>
          </w:tcPr>
          <w:p w14:paraId="0562E781" w14:textId="77777777" w:rsidR="00F53AB2" w:rsidRPr="00E51207" w:rsidRDefault="00F53AB2" w:rsidP="003C3DAA">
            <w:pPr>
              <w:jc w:val="right"/>
              <w:rPr>
                <w:color w:val="000000"/>
                <w:sz w:val="16"/>
                <w:szCs w:val="16"/>
              </w:rPr>
            </w:pPr>
            <w:r w:rsidRPr="00E51207">
              <w:rPr>
                <w:color w:val="000000"/>
                <w:sz w:val="16"/>
                <w:szCs w:val="16"/>
              </w:rPr>
              <w:t>71,05%</w:t>
            </w:r>
          </w:p>
        </w:tc>
        <w:tc>
          <w:tcPr>
            <w:tcW w:w="274" w:type="pct"/>
            <w:shd w:val="clear" w:color="auto" w:fill="F2F2F2" w:themeFill="background1" w:themeFillShade="F2"/>
            <w:noWrap/>
            <w:vAlign w:val="center"/>
            <w:hideMark/>
          </w:tcPr>
          <w:p w14:paraId="3E57E627" w14:textId="77777777" w:rsidR="00F53AB2" w:rsidRPr="00E51207" w:rsidRDefault="00F53AB2" w:rsidP="003C3DAA">
            <w:pPr>
              <w:jc w:val="center"/>
              <w:rPr>
                <w:color w:val="000000"/>
                <w:sz w:val="16"/>
                <w:szCs w:val="16"/>
              </w:rPr>
            </w:pPr>
            <w:r w:rsidRPr="00E51207">
              <w:rPr>
                <w:color w:val="000000"/>
                <w:sz w:val="16"/>
                <w:szCs w:val="16"/>
              </w:rPr>
              <w:t>27/38</w:t>
            </w:r>
          </w:p>
        </w:tc>
        <w:tc>
          <w:tcPr>
            <w:tcW w:w="274" w:type="pct"/>
            <w:shd w:val="clear" w:color="auto" w:fill="F2F2F2" w:themeFill="background1" w:themeFillShade="F2"/>
            <w:noWrap/>
            <w:vAlign w:val="center"/>
            <w:hideMark/>
          </w:tcPr>
          <w:p w14:paraId="4D25390A" w14:textId="77777777" w:rsidR="00F53AB2" w:rsidRPr="00E51207" w:rsidRDefault="00F53AB2" w:rsidP="003C3DAA">
            <w:pPr>
              <w:jc w:val="right"/>
              <w:rPr>
                <w:color w:val="000000"/>
                <w:sz w:val="16"/>
                <w:szCs w:val="16"/>
              </w:rPr>
            </w:pPr>
            <w:r w:rsidRPr="00E51207">
              <w:rPr>
                <w:color w:val="000000"/>
                <w:sz w:val="16"/>
                <w:szCs w:val="16"/>
              </w:rPr>
              <w:t>71,05%</w:t>
            </w:r>
          </w:p>
        </w:tc>
        <w:tc>
          <w:tcPr>
            <w:tcW w:w="274" w:type="pct"/>
            <w:shd w:val="clear" w:color="auto" w:fill="auto"/>
            <w:noWrap/>
            <w:vAlign w:val="center"/>
            <w:hideMark/>
          </w:tcPr>
          <w:p w14:paraId="280A0A6D"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243ED09D"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18D5E8C9" w14:textId="77777777" w:rsidR="00F53AB2" w:rsidRPr="00E51207" w:rsidRDefault="00F53AB2" w:rsidP="003C3DAA">
            <w:pPr>
              <w:jc w:val="center"/>
              <w:rPr>
                <w:color w:val="000000"/>
                <w:sz w:val="16"/>
                <w:szCs w:val="16"/>
              </w:rPr>
            </w:pPr>
            <w:r w:rsidRPr="00E51207">
              <w:rPr>
                <w:color w:val="000000"/>
                <w:sz w:val="16"/>
                <w:szCs w:val="16"/>
              </w:rPr>
              <w:t>30/38</w:t>
            </w:r>
          </w:p>
        </w:tc>
        <w:tc>
          <w:tcPr>
            <w:tcW w:w="274" w:type="pct"/>
            <w:shd w:val="clear" w:color="auto" w:fill="F2F2F2" w:themeFill="background1" w:themeFillShade="F2"/>
            <w:noWrap/>
            <w:vAlign w:val="center"/>
            <w:hideMark/>
          </w:tcPr>
          <w:p w14:paraId="61502103" w14:textId="77777777" w:rsidR="00F53AB2" w:rsidRPr="00E51207" w:rsidRDefault="00F53AB2" w:rsidP="003C3DAA">
            <w:pPr>
              <w:jc w:val="right"/>
              <w:rPr>
                <w:color w:val="000000"/>
                <w:sz w:val="16"/>
                <w:szCs w:val="16"/>
              </w:rPr>
            </w:pPr>
            <w:r w:rsidRPr="00E51207">
              <w:rPr>
                <w:color w:val="000000"/>
                <w:sz w:val="16"/>
                <w:szCs w:val="16"/>
              </w:rPr>
              <w:t>78,95%</w:t>
            </w:r>
          </w:p>
        </w:tc>
      </w:tr>
      <w:tr w:rsidR="00F53AB2" w:rsidRPr="007B3AE5" w14:paraId="02424DBA" w14:textId="77777777" w:rsidTr="002263D5">
        <w:trPr>
          <w:trHeight w:val="290"/>
        </w:trPr>
        <w:tc>
          <w:tcPr>
            <w:tcW w:w="199" w:type="pct"/>
            <w:shd w:val="clear" w:color="auto" w:fill="auto"/>
            <w:noWrap/>
            <w:vAlign w:val="center"/>
            <w:hideMark/>
          </w:tcPr>
          <w:p w14:paraId="1AF81A14" w14:textId="77777777" w:rsidR="00F53AB2" w:rsidRPr="00E51207" w:rsidRDefault="00F53AB2" w:rsidP="003C3DAA">
            <w:pPr>
              <w:jc w:val="right"/>
              <w:rPr>
                <w:color w:val="000000"/>
                <w:sz w:val="16"/>
                <w:szCs w:val="16"/>
              </w:rPr>
            </w:pPr>
            <w:r w:rsidRPr="00E51207">
              <w:rPr>
                <w:color w:val="000000"/>
                <w:sz w:val="16"/>
                <w:szCs w:val="16"/>
              </w:rPr>
              <w:t>47.</w:t>
            </w:r>
          </w:p>
        </w:tc>
        <w:tc>
          <w:tcPr>
            <w:tcW w:w="2060" w:type="pct"/>
            <w:shd w:val="clear" w:color="auto" w:fill="auto"/>
            <w:noWrap/>
            <w:vAlign w:val="center"/>
            <w:hideMark/>
          </w:tcPr>
          <w:p w14:paraId="3B0D39B9" w14:textId="77777777" w:rsidR="00F53AB2" w:rsidRPr="00E51207" w:rsidRDefault="00F53AB2" w:rsidP="003C3DAA">
            <w:pPr>
              <w:rPr>
                <w:color w:val="000000"/>
                <w:sz w:val="16"/>
                <w:szCs w:val="16"/>
              </w:rPr>
            </w:pPr>
            <w:r w:rsidRPr="00E51207">
              <w:rPr>
                <w:color w:val="000000"/>
                <w:sz w:val="16"/>
                <w:szCs w:val="16"/>
              </w:rPr>
              <w:t>Institut za standardizaciju BiH</w:t>
            </w:r>
          </w:p>
        </w:tc>
        <w:tc>
          <w:tcPr>
            <w:tcW w:w="274" w:type="pct"/>
            <w:shd w:val="clear" w:color="auto" w:fill="F2F2F2" w:themeFill="background1" w:themeFillShade="F2"/>
            <w:noWrap/>
            <w:vAlign w:val="center"/>
            <w:hideMark/>
          </w:tcPr>
          <w:p w14:paraId="056C3A7D" w14:textId="77777777" w:rsidR="00F53AB2" w:rsidRPr="00E51207" w:rsidRDefault="00F53AB2" w:rsidP="003C3DAA">
            <w:pPr>
              <w:jc w:val="center"/>
              <w:rPr>
                <w:color w:val="000000"/>
                <w:sz w:val="16"/>
                <w:szCs w:val="16"/>
              </w:rPr>
            </w:pPr>
            <w:r w:rsidRPr="00E51207">
              <w:rPr>
                <w:color w:val="000000"/>
                <w:sz w:val="16"/>
                <w:szCs w:val="16"/>
              </w:rPr>
              <w:t>18/38</w:t>
            </w:r>
          </w:p>
        </w:tc>
        <w:tc>
          <w:tcPr>
            <w:tcW w:w="274" w:type="pct"/>
            <w:shd w:val="clear" w:color="auto" w:fill="F2F2F2" w:themeFill="background1" w:themeFillShade="F2"/>
            <w:noWrap/>
            <w:vAlign w:val="center"/>
            <w:hideMark/>
          </w:tcPr>
          <w:p w14:paraId="240C7D71" w14:textId="77777777" w:rsidR="00F53AB2" w:rsidRPr="00E51207" w:rsidRDefault="00F53AB2" w:rsidP="003C3DAA">
            <w:pPr>
              <w:jc w:val="right"/>
              <w:rPr>
                <w:color w:val="000000"/>
                <w:sz w:val="16"/>
                <w:szCs w:val="16"/>
              </w:rPr>
            </w:pPr>
            <w:r w:rsidRPr="00E51207">
              <w:rPr>
                <w:color w:val="000000"/>
                <w:sz w:val="16"/>
                <w:szCs w:val="16"/>
              </w:rPr>
              <w:t>47,37%</w:t>
            </w:r>
          </w:p>
        </w:tc>
        <w:tc>
          <w:tcPr>
            <w:tcW w:w="274" w:type="pct"/>
            <w:shd w:val="clear" w:color="auto" w:fill="auto"/>
            <w:noWrap/>
            <w:vAlign w:val="center"/>
            <w:hideMark/>
          </w:tcPr>
          <w:p w14:paraId="0E351C17" w14:textId="77777777" w:rsidR="00F53AB2" w:rsidRPr="00E51207" w:rsidRDefault="00F53AB2" w:rsidP="003C3DAA">
            <w:pPr>
              <w:jc w:val="center"/>
              <w:rPr>
                <w:color w:val="000000"/>
                <w:sz w:val="16"/>
                <w:szCs w:val="16"/>
              </w:rPr>
            </w:pPr>
            <w:r w:rsidRPr="00E51207">
              <w:rPr>
                <w:color w:val="000000"/>
                <w:sz w:val="16"/>
                <w:szCs w:val="16"/>
              </w:rPr>
              <w:t>26/38</w:t>
            </w:r>
          </w:p>
        </w:tc>
        <w:tc>
          <w:tcPr>
            <w:tcW w:w="274" w:type="pct"/>
            <w:shd w:val="clear" w:color="auto" w:fill="auto"/>
            <w:noWrap/>
            <w:vAlign w:val="center"/>
            <w:hideMark/>
          </w:tcPr>
          <w:p w14:paraId="26834F23" w14:textId="77777777" w:rsidR="00F53AB2" w:rsidRPr="00E51207" w:rsidRDefault="00F53AB2" w:rsidP="003C3DAA">
            <w:pPr>
              <w:jc w:val="right"/>
              <w:rPr>
                <w:color w:val="000000"/>
                <w:sz w:val="16"/>
                <w:szCs w:val="16"/>
              </w:rPr>
            </w:pPr>
            <w:r w:rsidRPr="00E51207">
              <w:rPr>
                <w:color w:val="000000"/>
                <w:sz w:val="16"/>
                <w:szCs w:val="16"/>
              </w:rPr>
              <w:t>68,42%</w:t>
            </w:r>
          </w:p>
        </w:tc>
        <w:tc>
          <w:tcPr>
            <w:tcW w:w="274" w:type="pct"/>
            <w:shd w:val="clear" w:color="auto" w:fill="F2F2F2" w:themeFill="background1" w:themeFillShade="F2"/>
            <w:noWrap/>
            <w:vAlign w:val="center"/>
            <w:hideMark/>
          </w:tcPr>
          <w:p w14:paraId="167FAEB6" w14:textId="77777777" w:rsidR="00F53AB2" w:rsidRPr="00E51207" w:rsidRDefault="00F53AB2" w:rsidP="003C3DAA">
            <w:pPr>
              <w:jc w:val="center"/>
              <w:rPr>
                <w:color w:val="000000"/>
                <w:sz w:val="16"/>
                <w:szCs w:val="16"/>
              </w:rPr>
            </w:pPr>
            <w:r w:rsidRPr="00E51207">
              <w:rPr>
                <w:color w:val="000000"/>
                <w:sz w:val="16"/>
                <w:szCs w:val="16"/>
              </w:rPr>
              <w:t>31/38</w:t>
            </w:r>
          </w:p>
        </w:tc>
        <w:tc>
          <w:tcPr>
            <w:tcW w:w="274" w:type="pct"/>
            <w:shd w:val="clear" w:color="auto" w:fill="F2F2F2" w:themeFill="background1" w:themeFillShade="F2"/>
            <w:noWrap/>
            <w:vAlign w:val="center"/>
            <w:hideMark/>
          </w:tcPr>
          <w:p w14:paraId="3B5E2A0D" w14:textId="77777777" w:rsidR="00F53AB2" w:rsidRPr="00E51207" w:rsidRDefault="00F53AB2" w:rsidP="003C3DAA">
            <w:pPr>
              <w:jc w:val="right"/>
              <w:rPr>
                <w:color w:val="000000"/>
                <w:sz w:val="16"/>
                <w:szCs w:val="16"/>
              </w:rPr>
            </w:pPr>
            <w:r w:rsidRPr="00E51207">
              <w:rPr>
                <w:color w:val="000000"/>
                <w:sz w:val="16"/>
                <w:szCs w:val="16"/>
              </w:rPr>
              <w:t>81,58%</w:t>
            </w:r>
          </w:p>
        </w:tc>
        <w:tc>
          <w:tcPr>
            <w:tcW w:w="274" w:type="pct"/>
            <w:shd w:val="clear" w:color="auto" w:fill="auto"/>
            <w:noWrap/>
            <w:vAlign w:val="center"/>
            <w:hideMark/>
          </w:tcPr>
          <w:p w14:paraId="267FF576" w14:textId="77777777" w:rsidR="00F53AB2" w:rsidRPr="00E51207" w:rsidRDefault="00F53AB2" w:rsidP="003C3DAA">
            <w:pPr>
              <w:jc w:val="center"/>
              <w:rPr>
                <w:color w:val="000000"/>
                <w:sz w:val="16"/>
                <w:szCs w:val="16"/>
              </w:rPr>
            </w:pPr>
            <w:r w:rsidRPr="00E51207">
              <w:rPr>
                <w:color w:val="000000"/>
                <w:sz w:val="16"/>
                <w:szCs w:val="16"/>
              </w:rPr>
              <w:t>30/38</w:t>
            </w:r>
          </w:p>
        </w:tc>
        <w:tc>
          <w:tcPr>
            <w:tcW w:w="274" w:type="pct"/>
            <w:shd w:val="clear" w:color="auto" w:fill="auto"/>
            <w:noWrap/>
            <w:vAlign w:val="center"/>
            <w:hideMark/>
          </w:tcPr>
          <w:p w14:paraId="15F88750" w14:textId="77777777" w:rsidR="00F53AB2" w:rsidRPr="00E51207" w:rsidRDefault="00F53AB2" w:rsidP="003C3DAA">
            <w:pPr>
              <w:jc w:val="right"/>
              <w:rPr>
                <w:color w:val="000000"/>
                <w:sz w:val="16"/>
                <w:szCs w:val="16"/>
              </w:rPr>
            </w:pPr>
            <w:r w:rsidRPr="00E51207">
              <w:rPr>
                <w:color w:val="000000"/>
                <w:sz w:val="16"/>
                <w:szCs w:val="16"/>
              </w:rPr>
              <w:t>78,95%</w:t>
            </w:r>
          </w:p>
        </w:tc>
        <w:tc>
          <w:tcPr>
            <w:tcW w:w="274" w:type="pct"/>
            <w:shd w:val="clear" w:color="auto" w:fill="F2F2F2" w:themeFill="background1" w:themeFillShade="F2"/>
            <w:noWrap/>
            <w:vAlign w:val="center"/>
            <w:hideMark/>
          </w:tcPr>
          <w:p w14:paraId="7A6BBA90" w14:textId="77777777" w:rsidR="00F53AB2" w:rsidRPr="00E51207" w:rsidRDefault="00F53AB2" w:rsidP="003C3DAA">
            <w:pPr>
              <w:jc w:val="center"/>
              <w:rPr>
                <w:color w:val="000000"/>
                <w:sz w:val="16"/>
                <w:szCs w:val="16"/>
              </w:rPr>
            </w:pPr>
            <w:r w:rsidRPr="00E51207">
              <w:rPr>
                <w:color w:val="000000"/>
                <w:sz w:val="16"/>
                <w:szCs w:val="16"/>
              </w:rPr>
              <w:t>30/38</w:t>
            </w:r>
          </w:p>
        </w:tc>
        <w:tc>
          <w:tcPr>
            <w:tcW w:w="274" w:type="pct"/>
            <w:shd w:val="clear" w:color="auto" w:fill="F2F2F2" w:themeFill="background1" w:themeFillShade="F2"/>
            <w:noWrap/>
            <w:vAlign w:val="center"/>
            <w:hideMark/>
          </w:tcPr>
          <w:p w14:paraId="11E1107D" w14:textId="77777777" w:rsidR="00F53AB2" w:rsidRPr="00E51207" w:rsidRDefault="00F53AB2" w:rsidP="003C3DAA">
            <w:pPr>
              <w:jc w:val="right"/>
              <w:rPr>
                <w:color w:val="000000"/>
                <w:sz w:val="16"/>
                <w:szCs w:val="16"/>
              </w:rPr>
            </w:pPr>
            <w:r w:rsidRPr="00E51207">
              <w:rPr>
                <w:color w:val="000000"/>
                <w:sz w:val="16"/>
                <w:szCs w:val="16"/>
              </w:rPr>
              <w:t>78,95%</w:t>
            </w:r>
          </w:p>
        </w:tc>
      </w:tr>
      <w:tr w:rsidR="00F53AB2" w:rsidRPr="007B3AE5" w14:paraId="6789C48F" w14:textId="77777777" w:rsidTr="002263D5">
        <w:trPr>
          <w:trHeight w:val="290"/>
        </w:trPr>
        <w:tc>
          <w:tcPr>
            <w:tcW w:w="199" w:type="pct"/>
            <w:shd w:val="clear" w:color="auto" w:fill="auto"/>
            <w:noWrap/>
            <w:vAlign w:val="center"/>
            <w:hideMark/>
          </w:tcPr>
          <w:p w14:paraId="44AC8288" w14:textId="77777777" w:rsidR="00F53AB2" w:rsidRPr="00E51207" w:rsidRDefault="00F53AB2" w:rsidP="003C3DAA">
            <w:pPr>
              <w:jc w:val="right"/>
              <w:rPr>
                <w:color w:val="000000"/>
                <w:sz w:val="16"/>
                <w:szCs w:val="16"/>
              </w:rPr>
            </w:pPr>
            <w:r w:rsidRPr="00E51207">
              <w:rPr>
                <w:color w:val="000000"/>
                <w:sz w:val="16"/>
                <w:szCs w:val="16"/>
              </w:rPr>
              <w:t>48.</w:t>
            </w:r>
          </w:p>
        </w:tc>
        <w:tc>
          <w:tcPr>
            <w:tcW w:w="2060" w:type="pct"/>
            <w:shd w:val="clear" w:color="auto" w:fill="auto"/>
            <w:noWrap/>
            <w:vAlign w:val="center"/>
            <w:hideMark/>
          </w:tcPr>
          <w:p w14:paraId="29186A76" w14:textId="77777777" w:rsidR="00F53AB2" w:rsidRPr="00E51207" w:rsidRDefault="00F53AB2" w:rsidP="003C3DAA">
            <w:pPr>
              <w:rPr>
                <w:color w:val="000000"/>
                <w:sz w:val="16"/>
                <w:szCs w:val="16"/>
              </w:rPr>
            </w:pPr>
            <w:r w:rsidRPr="00E51207">
              <w:rPr>
                <w:color w:val="000000"/>
                <w:sz w:val="16"/>
                <w:szCs w:val="16"/>
              </w:rPr>
              <w:t>Agencija za državnu službu BiH</w:t>
            </w:r>
          </w:p>
        </w:tc>
        <w:tc>
          <w:tcPr>
            <w:tcW w:w="274" w:type="pct"/>
            <w:shd w:val="clear" w:color="auto" w:fill="F2F2F2" w:themeFill="background1" w:themeFillShade="F2"/>
            <w:noWrap/>
            <w:vAlign w:val="center"/>
            <w:hideMark/>
          </w:tcPr>
          <w:p w14:paraId="28B8ED30" w14:textId="77777777" w:rsidR="00F53AB2" w:rsidRPr="00E51207" w:rsidRDefault="00F53AB2" w:rsidP="003C3DAA">
            <w:pPr>
              <w:jc w:val="center"/>
              <w:rPr>
                <w:color w:val="000000"/>
                <w:sz w:val="16"/>
                <w:szCs w:val="16"/>
              </w:rPr>
            </w:pPr>
            <w:r w:rsidRPr="00E51207">
              <w:rPr>
                <w:color w:val="000000"/>
                <w:sz w:val="16"/>
                <w:szCs w:val="16"/>
              </w:rPr>
              <w:t>20/38</w:t>
            </w:r>
          </w:p>
        </w:tc>
        <w:tc>
          <w:tcPr>
            <w:tcW w:w="274" w:type="pct"/>
            <w:shd w:val="clear" w:color="auto" w:fill="F2F2F2" w:themeFill="background1" w:themeFillShade="F2"/>
            <w:noWrap/>
            <w:vAlign w:val="center"/>
            <w:hideMark/>
          </w:tcPr>
          <w:p w14:paraId="59700661" w14:textId="77777777" w:rsidR="00F53AB2" w:rsidRPr="00E51207" w:rsidRDefault="00F53AB2" w:rsidP="003C3DAA">
            <w:pPr>
              <w:jc w:val="right"/>
              <w:rPr>
                <w:color w:val="000000"/>
                <w:sz w:val="16"/>
                <w:szCs w:val="16"/>
              </w:rPr>
            </w:pPr>
            <w:r w:rsidRPr="00E51207">
              <w:rPr>
                <w:color w:val="000000"/>
                <w:sz w:val="16"/>
                <w:szCs w:val="16"/>
              </w:rPr>
              <w:t>52,63%</w:t>
            </w:r>
          </w:p>
        </w:tc>
        <w:tc>
          <w:tcPr>
            <w:tcW w:w="274" w:type="pct"/>
            <w:shd w:val="clear" w:color="auto" w:fill="auto"/>
            <w:noWrap/>
            <w:vAlign w:val="center"/>
            <w:hideMark/>
          </w:tcPr>
          <w:p w14:paraId="39B19D11" w14:textId="77777777" w:rsidR="00F53AB2" w:rsidRPr="00E51207" w:rsidRDefault="00F53AB2" w:rsidP="003C3DAA">
            <w:pPr>
              <w:jc w:val="center"/>
              <w:rPr>
                <w:color w:val="000000"/>
                <w:sz w:val="16"/>
                <w:szCs w:val="16"/>
              </w:rPr>
            </w:pPr>
            <w:r w:rsidRPr="00E51207">
              <w:rPr>
                <w:color w:val="000000"/>
                <w:sz w:val="16"/>
                <w:szCs w:val="16"/>
              </w:rPr>
              <w:t>20/38</w:t>
            </w:r>
          </w:p>
        </w:tc>
        <w:tc>
          <w:tcPr>
            <w:tcW w:w="274" w:type="pct"/>
            <w:shd w:val="clear" w:color="auto" w:fill="auto"/>
            <w:noWrap/>
            <w:vAlign w:val="center"/>
            <w:hideMark/>
          </w:tcPr>
          <w:p w14:paraId="6DE3693E" w14:textId="77777777" w:rsidR="00F53AB2" w:rsidRPr="00E51207" w:rsidRDefault="00F53AB2" w:rsidP="003C3DAA">
            <w:pPr>
              <w:jc w:val="right"/>
              <w:rPr>
                <w:color w:val="000000"/>
                <w:sz w:val="16"/>
                <w:szCs w:val="16"/>
              </w:rPr>
            </w:pPr>
            <w:r w:rsidRPr="00E51207">
              <w:rPr>
                <w:color w:val="000000"/>
                <w:sz w:val="16"/>
                <w:szCs w:val="16"/>
              </w:rPr>
              <w:t>52,63%</w:t>
            </w:r>
          </w:p>
        </w:tc>
        <w:tc>
          <w:tcPr>
            <w:tcW w:w="274" w:type="pct"/>
            <w:shd w:val="clear" w:color="auto" w:fill="F2F2F2" w:themeFill="background1" w:themeFillShade="F2"/>
            <w:noWrap/>
            <w:vAlign w:val="center"/>
            <w:hideMark/>
          </w:tcPr>
          <w:p w14:paraId="48496815" w14:textId="77777777" w:rsidR="00F53AB2" w:rsidRPr="00E51207" w:rsidRDefault="00F53AB2" w:rsidP="003C3DAA">
            <w:pPr>
              <w:jc w:val="center"/>
              <w:rPr>
                <w:color w:val="000000"/>
                <w:sz w:val="16"/>
                <w:szCs w:val="16"/>
              </w:rPr>
            </w:pPr>
            <w:r w:rsidRPr="00E51207">
              <w:rPr>
                <w:color w:val="000000"/>
                <w:sz w:val="16"/>
                <w:szCs w:val="16"/>
              </w:rPr>
              <w:t>22/38</w:t>
            </w:r>
          </w:p>
        </w:tc>
        <w:tc>
          <w:tcPr>
            <w:tcW w:w="274" w:type="pct"/>
            <w:shd w:val="clear" w:color="auto" w:fill="F2F2F2" w:themeFill="background1" w:themeFillShade="F2"/>
            <w:noWrap/>
            <w:vAlign w:val="center"/>
            <w:hideMark/>
          </w:tcPr>
          <w:p w14:paraId="432AD182" w14:textId="77777777" w:rsidR="00F53AB2" w:rsidRPr="00E51207" w:rsidRDefault="00F53AB2" w:rsidP="003C3DAA">
            <w:pPr>
              <w:jc w:val="right"/>
              <w:rPr>
                <w:color w:val="000000"/>
                <w:sz w:val="16"/>
                <w:szCs w:val="16"/>
              </w:rPr>
            </w:pPr>
            <w:r w:rsidRPr="00E51207">
              <w:rPr>
                <w:color w:val="000000"/>
                <w:sz w:val="16"/>
                <w:szCs w:val="16"/>
              </w:rPr>
              <w:t>57,89%</w:t>
            </w:r>
          </w:p>
        </w:tc>
        <w:tc>
          <w:tcPr>
            <w:tcW w:w="274" w:type="pct"/>
            <w:shd w:val="clear" w:color="auto" w:fill="auto"/>
            <w:noWrap/>
            <w:vAlign w:val="center"/>
            <w:hideMark/>
          </w:tcPr>
          <w:p w14:paraId="5CB446EF" w14:textId="77777777" w:rsidR="00F53AB2" w:rsidRPr="00E51207" w:rsidRDefault="00F53AB2" w:rsidP="003C3DAA">
            <w:pPr>
              <w:jc w:val="center"/>
              <w:rPr>
                <w:color w:val="000000"/>
                <w:sz w:val="16"/>
                <w:szCs w:val="16"/>
              </w:rPr>
            </w:pPr>
            <w:r w:rsidRPr="00E51207">
              <w:rPr>
                <w:color w:val="000000"/>
                <w:sz w:val="16"/>
                <w:szCs w:val="16"/>
              </w:rPr>
              <w:t>31/38</w:t>
            </w:r>
          </w:p>
        </w:tc>
        <w:tc>
          <w:tcPr>
            <w:tcW w:w="274" w:type="pct"/>
            <w:shd w:val="clear" w:color="auto" w:fill="auto"/>
            <w:noWrap/>
            <w:vAlign w:val="center"/>
            <w:hideMark/>
          </w:tcPr>
          <w:p w14:paraId="0B122F72" w14:textId="77777777" w:rsidR="00F53AB2" w:rsidRPr="00E51207" w:rsidRDefault="00F53AB2" w:rsidP="003C3DAA">
            <w:pPr>
              <w:jc w:val="right"/>
              <w:rPr>
                <w:color w:val="000000"/>
                <w:sz w:val="16"/>
                <w:szCs w:val="16"/>
              </w:rPr>
            </w:pPr>
            <w:r w:rsidRPr="00E51207">
              <w:rPr>
                <w:color w:val="000000"/>
                <w:sz w:val="16"/>
                <w:szCs w:val="16"/>
              </w:rPr>
              <w:t>81,58%</w:t>
            </w:r>
          </w:p>
        </w:tc>
        <w:tc>
          <w:tcPr>
            <w:tcW w:w="274" w:type="pct"/>
            <w:shd w:val="clear" w:color="auto" w:fill="F2F2F2" w:themeFill="background1" w:themeFillShade="F2"/>
            <w:noWrap/>
            <w:vAlign w:val="center"/>
            <w:hideMark/>
          </w:tcPr>
          <w:p w14:paraId="53B2DC1D" w14:textId="77777777" w:rsidR="00F53AB2" w:rsidRPr="00E51207" w:rsidRDefault="00F53AB2" w:rsidP="003C3DAA">
            <w:pPr>
              <w:jc w:val="center"/>
              <w:rPr>
                <w:color w:val="000000"/>
                <w:sz w:val="16"/>
                <w:szCs w:val="16"/>
              </w:rPr>
            </w:pPr>
            <w:r w:rsidRPr="00E51207">
              <w:rPr>
                <w:color w:val="000000"/>
                <w:sz w:val="16"/>
                <w:szCs w:val="16"/>
              </w:rPr>
              <w:t>31/38</w:t>
            </w:r>
          </w:p>
        </w:tc>
        <w:tc>
          <w:tcPr>
            <w:tcW w:w="274" w:type="pct"/>
            <w:shd w:val="clear" w:color="auto" w:fill="F2F2F2" w:themeFill="background1" w:themeFillShade="F2"/>
            <w:noWrap/>
            <w:vAlign w:val="center"/>
            <w:hideMark/>
          </w:tcPr>
          <w:p w14:paraId="0FB32B1E" w14:textId="77777777" w:rsidR="00F53AB2" w:rsidRPr="00E51207" w:rsidRDefault="00F53AB2" w:rsidP="003C3DAA">
            <w:pPr>
              <w:jc w:val="right"/>
              <w:rPr>
                <w:color w:val="000000"/>
                <w:sz w:val="16"/>
                <w:szCs w:val="16"/>
              </w:rPr>
            </w:pPr>
            <w:r w:rsidRPr="00E51207">
              <w:rPr>
                <w:color w:val="000000"/>
                <w:sz w:val="16"/>
                <w:szCs w:val="16"/>
              </w:rPr>
              <w:t>81,58%</w:t>
            </w:r>
          </w:p>
        </w:tc>
      </w:tr>
      <w:tr w:rsidR="00F53AB2" w:rsidRPr="007B3AE5" w14:paraId="73A4E948" w14:textId="77777777" w:rsidTr="002263D5">
        <w:trPr>
          <w:trHeight w:val="290"/>
        </w:trPr>
        <w:tc>
          <w:tcPr>
            <w:tcW w:w="199" w:type="pct"/>
            <w:shd w:val="clear" w:color="auto" w:fill="auto"/>
            <w:noWrap/>
            <w:vAlign w:val="center"/>
            <w:hideMark/>
          </w:tcPr>
          <w:p w14:paraId="2B4697AA" w14:textId="77777777" w:rsidR="00F53AB2" w:rsidRPr="00E51207" w:rsidRDefault="00F53AB2" w:rsidP="003C3DAA">
            <w:pPr>
              <w:jc w:val="right"/>
              <w:rPr>
                <w:color w:val="000000"/>
                <w:sz w:val="16"/>
                <w:szCs w:val="16"/>
              </w:rPr>
            </w:pPr>
            <w:r w:rsidRPr="00E51207">
              <w:rPr>
                <w:color w:val="000000"/>
                <w:sz w:val="16"/>
                <w:szCs w:val="16"/>
              </w:rPr>
              <w:t>49.</w:t>
            </w:r>
          </w:p>
        </w:tc>
        <w:tc>
          <w:tcPr>
            <w:tcW w:w="2060" w:type="pct"/>
            <w:shd w:val="clear" w:color="auto" w:fill="auto"/>
            <w:noWrap/>
            <w:vAlign w:val="center"/>
            <w:hideMark/>
          </w:tcPr>
          <w:p w14:paraId="4E3515F2" w14:textId="77777777" w:rsidR="00F53AB2" w:rsidRPr="00E51207" w:rsidRDefault="00F53AB2" w:rsidP="003C3DAA">
            <w:pPr>
              <w:rPr>
                <w:color w:val="000000"/>
                <w:sz w:val="16"/>
                <w:szCs w:val="16"/>
              </w:rPr>
            </w:pPr>
            <w:r w:rsidRPr="00E51207">
              <w:rPr>
                <w:color w:val="000000"/>
                <w:sz w:val="16"/>
                <w:szCs w:val="16"/>
              </w:rPr>
              <w:t>Agencija za nadzor nad tržištem BiH</w:t>
            </w:r>
          </w:p>
        </w:tc>
        <w:tc>
          <w:tcPr>
            <w:tcW w:w="274" w:type="pct"/>
            <w:shd w:val="clear" w:color="auto" w:fill="F2F2F2" w:themeFill="background1" w:themeFillShade="F2"/>
            <w:noWrap/>
            <w:vAlign w:val="center"/>
            <w:hideMark/>
          </w:tcPr>
          <w:p w14:paraId="6597BFCD" w14:textId="77777777" w:rsidR="00F53AB2" w:rsidRPr="00E51207" w:rsidRDefault="00F53AB2" w:rsidP="003C3DAA">
            <w:pPr>
              <w:jc w:val="center"/>
              <w:rPr>
                <w:color w:val="000000"/>
                <w:sz w:val="16"/>
                <w:szCs w:val="16"/>
              </w:rPr>
            </w:pPr>
            <w:r w:rsidRPr="00E51207">
              <w:rPr>
                <w:color w:val="000000"/>
                <w:sz w:val="16"/>
                <w:szCs w:val="16"/>
              </w:rPr>
              <w:t>18/38</w:t>
            </w:r>
          </w:p>
        </w:tc>
        <w:tc>
          <w:tcPr>
            <w:tcW w:w="274" w:type="pct"/>
            <w:shd w:val="clear" w:color="auto" w:fill="F2F2F2" w:themeFill="background1" w:themeFillShade="F2"/>
            <w:noWrap/>
            <w:vAlign w:val="center"/>
            <w:hideMark/>
          </w:tcPr>
          <w:p w14:paraId="09A601FA" w14:textId="77777777" w:rsidR="00F53AB2" w:rsidRPr="00E51207" w:rsidRDefault="00F53AB2" w:rsidP="003C3DAA">
            <w:pPr>
              <w:jc w:val="right"/>
              <w:rPr>
                <w:color w:val="000000"/>
                <w:sz w:val="16"/>
                <w:szCs w:val="16"/>
              </w:rPr>
            </w:pPr>
            <w:r w:rsidRPr="00E51207">
              <w:rPr>
                <w:color w:val="000000"/>
                <w:sz w:val="16"/>
                <w:szCs w:val="16"/>
              </w:rPr>
              <w:t>47,37%</w:t>
            </w:r>
          </w:p>
        </w:tc>
        <w:tc>
          <w:tcPr>
            <w:tcW w:w="274" w:type="pct"/>
            <w:shd w:val="clear" w:color="auto" w:fill="auto"/>
            <w:noWrap/>
            <w:vAlign w:val="center"/>
            <w:hideMark/>
          </w:tcPr>
          <w:p w14:paraId="40A699E1" w14:textId="77777777" w:rsidR="00F53AB2" w:rsidRPr="00E51207" w:rsidRDefault="00F53AB2" w:rsidP="003C3DAA">
            <w:pPr>
              <w:jc w:val="center"/>
              <w:rPr>
                <w:color w:val="000000"/>
                <w:sz w:val="16"/>
                <w:szCs w:val="16"/>
              </w:rPr>
            </w:pPr>
            <w:r w:rsidRPr="00E51207">
              <w:rPr>
                <w:color w:val="000000"/>
                <w:sz w:val="16"/>
                <w:szCs w:val="16"/>
              </w:rPr>
              <w:t>21/38</w:t>
            </w:r>
          </w:p>
        </w:tc>
        <w:tc>
          <w:tcPr>
            <w:tcW w:w="274" w:type="pct"/>
            <w:shd w:val="clear" w:color="auto" w:fill="auto"/>
            <w:noWrap/>
            <w:vAlign w:val="center"/>
            <w:hideMark/>
          </w:tcPr>
          <w:p w14:paraId="526A2035" w14:textId="77777777" w:rsidR="00F53AB2" w:rsidRPr="00E51207" w:rsidRDefault="00F53AB2" w:rsidP="003C3DAA">
            <w:pPr>
              <w:jc w:val="right"/>
              <w:rPr>
                <w:color w:val="000000"/>
                <w:sz w:val="16"/>
                <w:szCs w:val="16"/>
              </w:rPr>
            </w:pPr>
            <w:r w:rsidRPr="00E51207">
              <w:rPr>
                <w:color w:val="000000"/>
                <w:sz w:val="16"/>
                <w:szCs w:val="16"/>
              </w:rPr>
              <w:t>55,26%</w:t>
            </w:r>
          </w:p>
        </w:tc>
        <w:tc>
          <w:tcPr>
            <w:tcW w:w="274" w:type="pct"/>
            <w:shd w:val="clear" w:color="auto" w:fill="F2F2F2" w:themeFill="background1" w:themeFillShade="F2"/>
            <w:noWrap/>
            <w:vAlign w:val="center"/>
            <w:hideMark/>
          </w:tcPr>
          <w:p w14:paraId="4C62786E" w14:textId="77777777" w:rsidR="00F53AB2" w:rsidRPr="00E51207" w:rsidRDefault="00F53AB2" w:rsidP="003C3DAA">
            <w:pPr>
              <w:jc w:val="center"/>
              <w:rPr>
                <w:color w:val="000000"/>
                <w:sz w:val="16"/>
                <w:szCs w:val="16"/>
              </w:rPr>
            </w:pPr>
            <w:r w:rsidRPr="00E51207">
              <w:rPr>
                <w:color w:val="000000"/>
                <w:sz w:val="16"/>
                <w:szCs w:val="16"/>
              </w:rPr>
              <w:t>29/38</w:t>
            </w:r>
          </w:p>
        </w:tc>
        <w:tc>
          <w:tcPr>
            <w:tcW w:w="274" w:type="pct"/>
            <w:shd w:val="clear" w:color="auto" w:fill="F2F2F2" w:themeFill="background1" w:themeFillShade="F2"/>
            <w:noWrap/>
            <w:vAlign w:val="center"/>
            <w:hideMark/>
          </w:tcPr>
          <w:p w14:paraId="78B2F25E" w14:textId="77777777" w:rsidR="00F53AB2" w:rsidRPr="00E51207" w:rsidRDefault="00F53AB2" w:rsidP="003C3DAA">
            <w:pPr>
              <w:jc w:val="right"/>
              <w:rPr>
                <w:color w:val="000000"/>
                <w:sz w:val="16"/>
                <w:szCs w:val="16"/>
              </w:rPr>
            </w:pPr>
            <w:r w:rsidRPr="00E51207">
              <w:rPr>
                <w:color w:val="000000"/>
                <w:sz w:val="16"/>
                <w:szCs w:val="16"/>
              </w:rPr>
              <w:t>76,32%</w:t>
            </w:r>
          </w:p>
        </w:tc>
        <w:tc>
          <w:tcPr>
            <w:tcW w:w="274" w:type="pct"/>
            <w:shd w:val="clear" w:color="auto" w:fill="auto"/>
            <w:noWrap/>
            <w:vAlign w:val="center"/>
            <w:hideMark/>
          </w:tcPr>
          <w:p w14:paraId="0408FB42" w14:textId="77777777" w:rsidR="00F53AB2" w:rsidRPr="00E51207" w:rsidRDefault="00F53AB2" w:rsidP="003C3DAA">
            <w:pPr>
              <w:jc w:val="center"/>
              <w:rPr>
                <w:color w:val="000000"/>
                <w:sz w:val="16"/>
                <w:szCs w:val="16"/>
              </w:rPr>
            </w:pPr>
            <w:r w:rsidRPr="00E51207">
              <w:rPr>
                <w:color w:val="000000"/>
                <w:sz w:val="16"/>
                <w:szCs w:val="16"/>
              </w:rPr>
              <w:t>30/38</w:t>
            </w:r>
          </w:p>
        </w:tc>
        <w:tc>
          <w:tcPr>
            <w:tcW w:w="274" w:type="pct"/>
            <w:shd w:val="clear" w:color="auto" w:fill="auto"/>
            <w:noWrap/>
            <w:vAlign w:val="center"/>
            <w:hideMark/>
          </w:tcPr>
          <w:p w14:paraId="679BD73C" w14:textId="77777777" w:rsidR="00F53AB2" w:rsidRPr="00E51207" w:rsidRDefault="00F53AB2" w:rsidP="003C3DAA">
            <w:pPr>
              <w:jc w:val="right"/>
              <w:rPr>
                <w:color w:val="000000"/>
                <w:sz w:val="16"/>
                <w:szCs w:val="16"/>
              </w:rPr>
            </w:pPr>
            <w:r w:rsidRPr="00E51207">
              <w:rPr>
                <w:color w:val="000000"/>
                <w:sz w:val="16"/>
                <w:szCs w:val="16"/>
              </w:rPr>
              <w:t>78,95%</w:t>
            </w:r>
          </w:p>
        </w:tc>
        <w:tc>
          <w:tcPr>
            <w:tcW w:w="274" w:type="pct"/>
            <w:shd w:val="clear" w:color="auto" w:fill="F2F2F2" w:themeFill="background1" w:themeFillShade="F2"/>
            <w:noWrap/>
            <w:vAlign w:val="center"/>
            <w:hideMark/>
          </w:tcPr>
          <w:p w14:paraId="609D04D8" w14:textId="77777777" w:rsidR="00F53AB2" w:rsidRPr="00E51207" w:rsidRDefault="00F53AB2" w:rsidP="003C3DAA">
            <w:pPr>
              <w:jc w:val="center"/>
              <w:rPr>
                <w:color w:val="000000"/>
                <w:sz w:val="16"/>
                <w:szCs w:val="16"/>
              </w:rPr>
            </w:pPr>
            <w:r w:rsidRPr="00E51207">
              <w:rPr>
                <w:color w:val="000000"/>
                <w:sz w:val="16"/>
                <w:szCs w:val="16"/>
              </w:rPr>
              <w:t>31/38</w:t>
            </w:r>
          </w:p>
        </w:tc>
        <w:tc>
          <w:tcPr>
            <w:tcW w:w="274" w:type="pct"/>
            <w:shd w:val="clear" w:color="auto" w:fill="F2F2F2" w:themeFill="background1" w:themeFillShade="F2"/>
            <w:noWrap/>
            <w:vAlign w:val="center"/>
            <w:hideMark/>
          </w:tcPr>
          <w:p w14:paraId="02CFA977" w14:textId="77777777" w:rsidR="00F53AB2" w:rsidRPr="00E51207" w:rsidRDefault="00F53AB2" w:rsidP="003C3DAA">
            <w:pPr>
              <w:jc w:val="right"/>
              <w:rPr>
                <w:color w:val="000000"/>
                <w:sz w:val="16"/>
                <w:szCs w:val="16"/>
              </w:rPr>
            </w:pPr>
            <w:r w:rsidRPr="00E51207">
              <w:rPr>
                <w:color w:val="000000"/>
                <w:sz w:val="16"/>
                <w:szCs w:val="16"/>
              </w:rPr>
              <w:t>81,58%</w:t>
            </w:r>
          </w:p>
        </w:tc>
      </w:tr>
      <w:tr w:rsidR="00F53AB2" w:rsidRPr="007B3AE5" w14:paraId="111218FE" w14:textId="77777777" w:rsidTr="002263D5">
        <w:trPr>
          <w:trHeight w:val="290"/>
        </w:trPr>
        <w:tc>
          <w:tcPr>
            <w:tcW w:w="199" w:type="pct"/>
            <w:shd w:val="clear" w:color="auto" w:fill="auto"/>
            <w:noWrap/>
            <w:vAlign w:val="center"/>
            <w:hideMark/>
          </w:tcPr>
          <w:p w14:paraId="18967210" w14:textId="77777777" w:rsidR="00F53AB2" w:rsidRPr="00E51207" w:rsidRDefault="00F53AB2" w:rsidP="003C3DAA">
            <w:pPr>
              <w:jc w:val="right"/>
              <w:rPr>
                <w:color w:val="000000"/>
                <w:sz w:val="16"/>
                <w:szCs w:val="16"/>
              </w:rPr>
            </w:pPr>
            <w:r w:rsidRPr="00E51207">
              <w:rPr>
                <w:color w:val="000000"/>
                <w:sz w:val="16"/>
                <w:szCs w:val="16"/>
              </w:rPr>
              <w:t>50.</w:t>
            </w:r>
          </w:p>
        </w:tc>
        <w:tc>
          <w:tcPr>
            <w:tcW w:w="2060" w:type="pct"/>
            <w:shd w:val="clear" w:color="auto" w:fill="auto"/>
            <w:noWrap/>
            <w:vAlign w:val="center"/>
            <w:hideMark/>
          </w:tcPr>
          <w:p w14:paraId="5EA28070" w14:textId="77777777" w:rsidR="00F53AB2" w:rsidRPr="00E51207" w:rsidRDefault="00F53AB2" w:rsidP="003C3DAA">
            <w:pPr>
              <w:rPr>
                <w:color w:val="000000"/>
                <w:sz w:val="16"/>
                <w:szCs w:val="16"/>
              </w:rPr>
            </w:pPr>
            <w:r w:rsidRPr="00E51207">
              <w:rPr>
                <w:color w:val="000000"/>
                <w:sz w:val="16"/>
                <w:szCs w:val="16"/>
              </w:rPr>
              <w:t>Centar za uklanjanje mina u BiH</w:t>
            </w:r>
          </w:p>
        </w:tc>
        <w:tc>
          <w:tcPr>
            <w:tcW w:w="274" w:type="pct"/>
            <w:shd w:val="clear" w:color="auto" w:fill="F2F2F2" w:themeFill="background1" w:themeFillShade="F2"/>
            <w:noWrap/>
            <w:vAlign w:val="center"/>
            <w:hideMark/>
          </w:tcPr>
          <w:p w14:paraId="1B264479" w14:textId="77777777" w:rsidR="00F53AB2" w:rsidRPr="00E51207" w:rsidRDefault="00F53AB2" w:rsidP="003C3DAA">
            <w:pPr>
              <w:jc w:val="center"/>
              <w:rPr>
                <w:color w:val="000000"/>
                <w:sz w:val="16"/>
                <w:szCs w:val="16"/>
              </w:rPr>
            </w:pPr>
            <w:r w:rsidRPr="00E51207">
              <w:rPr>
                <w:color w:val="000000"/>
                <w:sz w:val="16"/>
                <w:szCs w:val="16"/>
              </w:rPr>
              <w:t>28/38</w:t>
            </w:r>
          </w:p>
        </w:tc>
        <w:tc>
          <w:tcPr>
            <w:tcW w:w="274" w:type="pct"/>
            <w:shd w:val="clear" w:color="auto" w:fill="F2F2F2" w:themeFill="background1" w:themeFillShade="F2"/>
            <w:noWrap/>
            <w:vAlign w:val="center"/>
            <w:hideMark/>
          </w:tcPr>
          <w:p w14:paraId="261D8C22" w14:textId="77777777" w:rsidR="00F53AB2" w:rsidRPr="00E51207" w:rsidRDefault="00F53AB2" w:rsidP="003C3DAA">
            <w:pPr>
              <w:jc w:val="right"/>
              <w:rPr>
                <w:color w:val="000000"/>
                <w:sz w:val="16"/>
                <w:szCs w:val="16"/>
              </w:rPr>
            </w:pPr>
            <w:r w:rsidRPr="00E51207">
              <w:rPr>
                <w:color w:val="000000"/>
                <w:sz w:val="16"/>
                <w:szCs w:val="16"/>
              </w:rPr>
              <w:t>73,68%</w:t>
            </w:r>
          </w:p>
        </w:tc>
        <w:tc>
          <w:tcPr>
            <w:tcW w:w="274" w:type="pct"/>
            <w:shd w:val="clear" w:color="auto" w:fill="auto"/>
            <w:noWrap/>
            <w:vAlign w:val="center"/>
            <w:hideMark/>
          </w:tcPr>
          <w:p w14:paraId="5695B457"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48344C17"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1957EA12" w14:textId="77777777" w:rsidR="00F53AB2" w:rsidRPr="00E51207" w:rsidRDefault="00F53AB2" w:rsidP="003C3DAA">
            <w:pPr>
              <w:jc w:val="center"/>
              <w:rPr>
                <w:color w:val="000000"/>
                <w:sz w:val="16"/>
                <w:szCs w:val="16"/>
              </w:rPr>
            </w:pPr>
            <w:r w:rsidRPr="00E51207">
              <w:rPr>
                <w:color w:val="000000"/>
                <w:sz w:val="16"/>
                <w:szCs w:val="16"/>
              </w:rPr>
              <w:t>32/38</w:t>
            </w:r>
          </w:p>
        </w:tc>
        <w:tc>
          <w:tcPr>
            <w:tcW w:w="274" w:type="pct"/>
            <w:shd w:val="clear" w:color="auto" w:fill="F2F2F2" w:themeFill="background1" w:themeFillShade="F2"/>
            <w:noWrap/>
            <w:vAlign w:val="center"/>
            <w:hideMark/>
          </w:tcPr>
          <w:p w14:paraId="5CBB749A" w14:textId="77777777" w:rsidR="00F53AB2" w:rsidRPr="00E51207" w:rsidRDefault="00F53AB2" w:rsidP="003C3DAA">
            <w:pPr>
              <w:jc w:val="right"/>
              <w:rPr>
                <w:color w:val="000000"/>
                <w:sz w:val="16"/>
                <w:szCs w:val="16"/>
              </w:rPr>
            </w:pPr>
            <w:r w:rsidRPr="00E51207">
              <w:rPr>
                <w:color w:val="000000"/>
                <w:sz w:val="16"/>
                <w:szCs w:val="16"/>
              </w:rPr>
              <w:t>84,21%</w:t>
            </w:r>
          </w:p>
        </w:tc>
        <w:tc>
          <w:tcPr>
            <w:tcW w:w="274" w:type="pct"/>
            <w:shd w:val="clear" w:color="auto" w:fill="auto"/>
            <w:noWrap/>
            <w:vAlign w:val="center"/>
            <w:hideMark/>
          </w:tcPr>
          <w:p w14:paraId="1E751D67" w14:textId="77777777" w:rsidR="00F53AB2" w:rsidRPr="00E51207" w:rsidRDefault="00F53AB2" w:rsidP="003C3DAA">
            <w:pPr>
              <w:jc w:val="center"/>
              <w:rPr>
                <w:color w:val="000000"/>
                <w:sz w:val="16"/>
                <w:szCs w:val="16"/>
              </w:rPr>
            </w:pPr>
            <w:r w:rsidRPr="00E51207">
              <w:rPr>
                <w:color w:val="000000"/>
                <w:sz w:val="16"/>
                <w:szCs w:val="16"/>
              </w:rPr>
              <w:t>31/38</w:t>
            </w:r>
          </w:p>
        </w:tc>
        <w:tc>
          <w:tcPr>
            <w:tcW w:w="274" w:type="pct"/>
            <w:shd w:val="clear" w:color="auto" w:fill="auto"/>
            <w:noWrap/>
            <w:vAlign w:val="center"/>
            <w:hideMark/>
          </w:tcPr>
          <w:p w14:paraId="0DF5A9A6" w14:textId="77777777" w:rsidR="00F53AB2" w:rsidRPr="00E51207" w:rsidRDefault="00F53AB2" w:rsidP="003C3DAA">
            <w:pPr>
              <w:jc w:val="right"/>
              <w:rPr>
                <w:color w:val="000000"/>
                <w:sz w:val="16"/>
                <w:szCs w:val="16"/>
              </w:rPr>
            </w:pPr>
            <w:r w:rsidRPr="00E51207">
              <w:rPr>
                <w:color w:val="000000"/>
                <w:sz w:val="16"/>
                <w:szCs w:val="16"/>
              </w:rPr>
              <w:t>81,58%</w:t>
            </w:r>
          </w:p>
        </w:tc>
        <w:tc>
          <w:tcPr>
            <w:tcW w:w="274" w:type="pct"/>
            <w:shd w:val="clear" w:color="auto" w:fill="F2F2F2" w:themeFill="background1" w:themeFillShade="F2"/>
            <w:noWrap/>
            <w:vAlign w:val="center"/>
            <w:hideMark/>
          </w:tcPr>
          <w:p w14:paraId="247A05BF"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783B2BF4" w14:textId="77777777" w:rsidR="00F53AB2" w:rsidRPr="00E51207" w:rsidRDefault="00F53AB2" w:rsidP="003C3DAA">
            <w:pPr>
              <w:jc w:val="right"/>
              <w:rPr>
                <w:color w:val="000000"/>
                <w:sz w:val="16"/>
                <w:szCs w:val="16"/>
              </w:rPr>
            </w:pPr>
            <w:r w:rsidRPr="00E51207">
              <w:rPr>
                <w:color w:val="000000"/>
                <w:sz w:val="16"/>
                <w:szCs w:val="16"/>
              </w:rPr>
              <w:t>/</w:t>
            </w:r>
          </w:p>
        </w:tc>
      </w:tr>
      <w:tr w:rsidR="00F53AB2" w:rsidRPr="007B3AE5" w14:paraId="1CEC3815" w14:textId="77777777" w:rsidTr="002263D5">
        <w:trPr>
          <w:trHeight w:val="290"/>
        </w:trPr>
        <w:tc>
          <w:tcPr>
            <w:tcW w:w="199" w:type="pct"/>
            <w:shd w:val="clear" w:color="auto" w:fill="auto"/>
            <w:noWrap/>
            <w:vAlign w:val="center"/>
            <w:hideMark/>
          </w:tcPr>
          <w:p w14:paraId="7E558ABB" w14:textId="77777777" w:rsidR="00F53AB2" w:rsidRPr="00E51207" w:rsidRDefault="00F53AB2" w:rsidP="003C3DAA">
            <w:pPr>
              <w:jc w:val="right"/>
              <w:rPr>
                <w:color w:val="000000"/>
                <w:sz w:val="16"/>
                <w:szCs w:val="16"/>
              </w:rPr>
            </w:pPr>
            <w:r w:rsidRPr="00E51207">
              <w:rPr>
                <w:color w:val="000000"/>
                <w:sz w:val="16"/>
                <w:szCs w:val="16"/>
              </w:rPr>
              <w:t>51.</w:t>
            </w:r>
          </w:p>
        </w:tc>
        <w:tc>
          <w:tcPr>
            <w:tcW w:w="2060" w:type="pct"/>
            <w:shd w:val="clear" w:color="auto" w:fill="auto"/>
            <w:noWrap/>
            <w:vAlign w:val="center"/>
            <w:hideMark/>
          </w:tcPr>
          <w:p w14:paraId="32B82C8F" w14:textId="77777777" w:rsidR="00F53AB2" w:rsidRPr="00E51207" w:rsidRDefault="00F53AB2" w:rsidP="003C3DAA">
            <w:pPr>
              <w:rPr>
                <w:color w:val="000000"/>
                <w:sz w:val="16"/>
                <w:szCs w:val="16"/>
              </w:rPr>
            </w:pPr>
            <w:r w:rsidRPr="00E51207">
              <w:rPr>
                <w:color w:val="000000"/>
                <w:sz w:val="16"/>
                <w:szCs w:val="16"/>
              </w:rPr>
              <w:t>Državna agencija za istrage i zaštitu BiH</w:t>
            </w:r>
          </w:p>
        </w:tc>
        <w:tc>
          <w:tcPr>
            <w:tcW w:w="274" w:type="pct"/>
            <w:shd w:val="clear" w:color="auto" w:fill="F2F2F2" w:themeFill="background1" w:themeFillShade="F2"/>
            <w:noWrap/>
            <w:vAlign w:val="center"/>
            <w:hideMark/>
          </w:tcPr>
          <w:p w14:paraId="5E9230E8"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296B0EA5"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0B1DAC08" w14:textId="77777777" w:rsidR="00F53AB2" w:rsidRPr="00E51207" w:rsidRDefault="00F53AB2" w:rsidP="003C3DAA">
            <w:pPr>
              <w:jc w:val="center"/>
              <w:rPr>
                <w:color w:val="000000"/>
                <w:sz w:val="16"/>
                <w:szCs w:val="16"/>
              </w:rPr>
            </w:pPr>
            <w:r w:rsidRPr="00E51207">
              <w:rPr>
                <w:color w:val="000000"/>
                <w:sz w:val="16"/>
                <w:szCs w:val="16"/>
              </w:rPr>
              <w:t>29/38</w:t>
            </w:r>
          </w:p>
        </w:tc>
        <w:tc>
          <w:tcPr>
            <w:tcW w:w="274" w:type="pct"/>
            <w:shd w:val="clear" w:color="auto" w:fill="auto"/>
            <w:noWrap/>
            <w:vAlign w:val="center"/>
            <w:hideMark/>
          </w:tcPr>
          <w:p w14:paraId="0C5D6B74" w14:textId="77777777" w:rsidR="00F53AB2" w:rsidRPr="00E51207" w:rsidRDefault="00F53AB2" w:rsidP="003C3DAA">
            <w:pPr>
              <w:jc w:val="right"/>
              <w:rPr>
                <w:color w:val="000000"/>
                <w:sz w:val="16"/>
                <w:szCs w:val="16"/>
              </w:rPr>
            </w:pPr>
            <w:r w:rsidRPr="00E51207">
              <w:rPr>
                <w:color w:val="000000"/>
                <w:sz w:val="16"/>
                <w:szCs w:val="16"/>
              </w:rPr>
              <w:t>76,32%</w:t>
            </w:r>
          </w:p>
        </w:tc>
        <w:tc>
          <w:tcPr>
            <w:tcW w:w="274" w:type="pct"/>
            <w:shd w:val="clear" w:color="auto" w:fill="F2F2F2" w:themeFill="background1" w:themeFillShade="F2"/>
            <w:noWrap/>
            <w:vAlign w:val="center"/>
            <w:hideMark/>
          </w:tcPr>
          <w:p w14:paraId="76EFEB9F" w14:textId="77777777" w:rsidR="00F53AB2" w:rsidRPr="00E51207" w:rsidRDefault="00F53AB2" w:rsidP="003C3DAA">
            <w:pPr>
              <w:jc w:val="center"/>
              <w:rPr>
                <w:color w:val="000000"/>
                <w:sz w:val="16"/>
                <w:szCs w:val="16"/>
              </w:rPr>
            </w:pPr>
            <w:r w:rsidRPr="00E51207">
              <w:rPr>
                <w:color w:val="000000"/>
                <w:sz w:val="16"/>
                <w:szCs w:val="16"/>
              </w:rPr>
              <w:t>32/38</w:t>
            </w:r>
          </w:p>
        </w:tc>
        <w:tc>
          <w:tcPr>
            <w:tcW w:w="274" w:type="pct"/>
            <w:shd w:val="clear" w:color="auto" w:fill="F2F2F2" w:themeFill="background1" w:themeFillShade="F2"/>
            <w:noWrap/>
            <w:vAlign w:val="center"/>
            <w:hideMark/>
          </w:tcPr>
          <w:p w14:paraId="6D2F3296" w14:textId="77777777" w:rsidR="00F53AB2" w:rsidRPr="00E51207" w:rsidRDefault="00F53AB2" w:rsidP="003C3DAA">
            <w:pPr>
              <w:jc w:val="right"/>
              <w:rPr>
                <w:color w:val="000000"/>
                <w:sz w:val="16"/>
                <w:szCs w:val="16"/>
              </w:rPr>
            </w:pPr>
            <w:r w:rsidRPr="00E51207">
              <w:rPr>
                <w:color w:val="000000"/>
                <w:sz w:val="16"/>
                <w:szCs w:val="16"/>
              </w:rPr>
              <w:t>84,21%</w:t>
            </w:r>
          </w:p>
        </w:tc>
        <w:tc>
          <w:tcPr>
            <w:tcW w:w="274" w:type="pct"/>
            <w:shd w:val="clear" w:color="auto" w:fill="auto"/>
            <w:noWrap/>
            <w:vAlign w:val="center"/>
            <w:hideMark/>
          </w:tcPr>
          <w:p w14:paraId="46B4A033" w14:textId="77777777" w:rsidR="00F53AB2" w:rsidRPr="00E51207" w:rsidRDefault="00F53AB2" w:rsidP="003C3DAA">
            <w:pPr>
              <w:jc w:val="center"/>
              <w:rPr>
                <w:color w:val="000000"/>
                <w:sz w:val="16"/>
                <w:szCs w:val="16"/>
              </w:rPr>
            </w:pPr>
            <w:r w:rsidRPr="00E51207">
              <w:rPr>
                <w:color w:val="000000"/>
                <w:sz w:val="16"/>
                <w:szCs w:val="16"/>
              </w:rPr>
              <w:t>31/38</w:t>
            </w:r>
          </w:p>
        </w:tc>
        <w:tc>
          <w:tcPr>
            <w:tcW w:w="274" w:type="pct"/>
            <w:shd w:val="clear" w:color="auto" w:fill="auto"/>
            <w:noWrap/>
            <w:vAlign w:val="center"/>
            <w:hideMark/>
          </w:tcPr>
          <w:p w14:paraId="1A729A2C" w14:textId="77777777" w:rsidR="00F53AB2" w:rsidRPr="00E51207" w:rsidRDefault="00F53AB2" w:rsidP="003C3DAA">
            <w:pPr>
              <w:jc w:val="right"/>
              <w:rPr>
                <w:color w:val="000000"/>
                <w:sz w:val="16"/>
                <w:szCs w:val="16"/>
              </w:rPr>
            </w:pPr>
            <w:r w:rsidRPr="00E51207">
              <w:rPr>
                <w:color w:val="000000"/>
                <w:sz w:val="16"/>
                <w:szCs w:val="16"/>
              </w:rPr>
              <w:t>81,58%</w:t>
            </w:r>
          </w:p>
        </w:tc>
        <w:tc>
          <w:tcPr>
            <w:tcW w:w="274" w:type="pct"/>
            <w:shd w:val="clear" w:color="auto" w:fill="F2F2F2" w:themeFill="background1" w:themeFillShade="F2"/>
            <w:noWrap/>
            <w:vAlign w:val="center"/>
            <w:hideMark/>
          </w:tcPr>
          <w:p w14:paraId="39915510" w14:textId="77777777" w:rsidR="00F53AB2" w:rsidRPr="00E51207" w:rsidRDefault="00F53AB2" w:rsidP="003C3DAA">
            <w:pPr>
              <w:jc w:val="center"/>
              <w:rPr>
                <w:color w:val="000000"/>
                <w:sz w:val="16"/>
                <w:szCs w:val="16"/>
              </w:rPr>
            </w:pPr>
            <w:r w:rsidRPr="00E51207">
              <w:rPr>
                <w:color w:val="000000"/>
                <w:sz w:val="16"/>
                <w:szCs w:val="16"/>
              </w:rPr>
              <w:t>31/38</w:t>
            </w:r>
          </w:p>
        </w:tc>
        <w:tc>
          <w:tcPr>
            <w:tcW w:w="274" w:type="pct"/>
            <w:shd w:val="clear" w:color="auto" w:fill="F2F2F2" w:themeFill="background1" w:themeFillShade="F2"/>
            <w:noWrap/>
            <w:vAlign w:val="center"/>
            <w:hideMark/>
          </w:tcPr>
          <w:p w14:paraId="177920CE" w14:textId="77777777" w:rsidR="00F53AB2" w:rsidRPr="00E51207" w:rsidRDefault="00F53AB2" w:rsidP="003C3DAA">
            <w:pPr>
              <w:jc w:val="right"/>
              <w:rPr>
                <w:color w:val="000000"/>
                <w:sz w:val="16"/>
                <w:szCs w:val="16"/>
              </w:rPr>
            </w:pPr>
            <w:r w:rsidRPr="00E51207">
              <w:rPr>
                <w:color w:val="000000"/>
                <w:sz w:val="16"/>
                <w:szCs w:val="16"/>
              </w:rPr>
              <w:t>81,58%</w:t>
            </w:r>
          </w:p>
        </w:tc>
      </w:tr>
      <w:tr w:rsidR="00F53AB2" w:rsidRPr="007B3AE5" w14:paraId="71C98976" w14:textId="77777777" w:rsidTr="002263D5">
        <w:trPr>
          <w:trHeight w:val="290"/>
        </w:trPr>
        <w:tc>
          <w:tcPr>
            <w:tcW w:w="199" w:type="pct"/>
            <w:shd w:val="clear" w:color="auto" w:fill="auto"/>
            <w:noWrap/>
            <w:vAlign w:val="center"/>
            <w:hideMark/>
          </w:tcPr>
          <w:p w14:paraId="2D304EC7" w14:textId="77777777" w:rsidR="00F53AB2" w:rsidRPr="00E51207" w:rsidRDefault="00F53AB2" w:rsidP="003C3DAA">
            <w:pPr>
              <w:jc w:val="right"/>
              <w:rPr>
                <w:color w:val="000000"/>
                <w:sz w:val="16"/>
                <w:szCs w:val="16"/>
              </w:rPr>
            </w:pPr>
            <w:r w:rsidRPr="00E51207">
              <w:rPr>
                <w:color w:val="000000"/>
                <w:sz w:val="16"/>
                <w:szCs w:val="16"/>
              </w:rPr>
              <w:t>52.</w:t>
            </w:r>
          </w:p>
        </w:tc>
        <w:tc>
          <w:tcPr>
            <w:tcW w:w="2060" w:type="pct"/>
            <w:shd w:val="clear" w:color="auto" w:fill="auto"/>
            <w:noWrap/>
            <w:vAlign w:val="center"/>
            <w:hideMark/>
          </w:tcPr>
          <w:p w14:paraId="314AF745" w14:textId="77777777" w:rsidR="00F53AB2" w:rsidRPr="00E51207" w:rsidRDefault="00F53AB2" w:rsidP="003C3DAA">
            <w:pPr>
              <w:rPr>
                <w:color w:val="000000"/>
                <w:sz w:val="16"/>
                <w:szCs w:val="16"/>
              </w:rPr>
            </w:pPr>
            <w:r w:rsidRPr="00E51207">
              <w:rPr>
                <w:color w:val="000000"/>
                <w:sz w:val="16"/>
                <w:szCs w:val="16"/>
              </w:rPr>
              <w:t>Centar za informisanje i priznavanje dokumenata iz oblasti visokog obrazovanja BiH</w:t>
            </w:r>
          </w:p>
        </w:tc>
        <w:tc>
          <w:tcPr>
            <w:tcW w:w="274" w:type="pct"/>
            <w:shd w:val="clear" w:color="auto" w:fill="F2F2F2" w:themeFill="background1" w:themeFillShade="F2"/>
            <w:noWrap/>
            <w:vAlign w:val="center"/>
            <w:hideMark/>
          </w:tcPr>
          <w:p w14:paraId="23FCD6C7" w14:textId="77777777" w:rsidR="00F53AB2" w:rsidRPr="00E51207" w:rsidRDefault="00F53AB2" w:rsidP="003C3DAA">
            <w:pPr>
              <w:jc w:val="center"/>
              <w:rPr>
                <w:color w:val="000000"/>
                <w:sz w:val="16"/>
                <w:szCs w:val="16"/>
              </w:rPr>
            </w:pPr>
            <w:r w:rsidRPr="00E51207">
              <w:rPr>
                <w:color w:val="000000"/>
                <w:sz w:val="16"/>
                <w:szCs w:val="16"/>
              </w:rPr>
              <w:t>27/38</w:t>
            </w:r>
          </w:p>
        </w:tc>
        <w:tc>
          <w:tcPr>
            <w:tcW w:w="274" w:type="pct"/>
            <w:shd w:val="clear" w:color="auto" w:fill="F2F2F2" w:themeFill="background1" w:themeFillShade="F2"/>
            <w:noWrap/>
            <w:vAlign w:val="center"/>
            <w:hideMark/>
          </w:tcPr>
          <w:p w14:paraId="35C8596D" w14:textId="77777777" w:rsidR="00F53AB2" w:rsidRPr="00E51207" w:rsidRDefault="00F53AB2" w:rsidP="003C3DAA">
            <w:pPr>
              <w:jc w:val="right"/>
              <w:rPr>
                <w:color w:val="000000"/>
                <w:sz w:val="16"/>
                <w:szCs w:val="16"/>
              </w:rPr>
            </w:pPr>
            <w:r w:rsidRPr="00E51207">
              <w:rPr>
                <w:color w:val="000000"/>
                <w:sz w:val="16"/>
                <w:szCs w:val="16"/>
              </w:rPr>
              <w:t>71,05%</w:t>
            </w:r>
          </w:p>
        </w:tc>
        <w:tc>
          <w:tcPr>
            <w:tcW w:w="274" w:type="pct"/>
            <w:shd w:val="clear" w:color="auto" w:fill="auto"/>
            <w:noWrap/>
            <w:vAlign w:val="center"/>
            <w:hideMark/>
          </w:tcPr>
          <w:p w14:paraId="621B68DC" w14:textId="77777777" w:rsidR="00F53AB2" w:rsidRPr="00E51207" w:rsidRDefault="00F53AB2" w:rsidP="003C3DAA">
            <w:pPr>
              <w:jc w:val="center"/>
              <w:rPr>
                <w:color w:val="000000"/>
                <w:sz w:val="16"/>
                <w:szCs w:val="16"/>
              </w:rPr>
            </w:pPr>
            <w:r w:rsidRPr="00E51207">
              <w:rPr>
                <w:color w:val="000000"/>
                <w:sz w:val="16"/>
                <w:szCs w:val="16"/>
              </w:rPr>
              <w:t>28/38</w:t>
            </w:r>
          </w:p>
        </w:tc>
        <w:tc>
          <w:tcPr>
            <w:tcW w:w="274" w:type="pct"/>
            <w:shd w:val="clear" w:color="auto" w:fill="auto"/>
            <w:noWrap/>
            <w:vAlign w:val="center"/>
            <w:hideMark/>
          </w:tcPr>
          <w:p w14:paraId="5092BDF3" w14:textId="77777777" w:rsidR="00F53AB2" w:rsidRPr="00E51207" w:rsidRDefault="00F53AB2" w:rsidP="003C3DAA">
            <w:pPr>
              <w:jc w:val="right"/>
              <w:rPr>
                <w:color w:val="000000"/>
                <w:sz w:val="16"/>
                <w:szCs w:val="16"/>
              </w:rPr>
            </w:pPr>
            <w:r w:rsidRPr="00E51207">
              <w:rPr>
                <w:color w:val="000000"/>
                <w:sz w:val="16"/>
                <w:szCs w:val="16"/>
              </w:rPr>
              <w:t>73,68%</w:t>
            </w:r>
          </w:p>
        </w:tc>
        <w:tc>
          <w:tcPr>
            <w:tcW w:w="274" w:type="pct"/>
            <w:shd w:val="clear" w:color="auto" w:fill="F2F2F2" w:themeFill="background1" w:themeFillShade="F2"/>
            <w:noWrap/>
            <w:vAlign w:val="center"/>
            <w:hideMark/>
          </w:tcPr>
          <w:p w14:paraId="288E010D" w14:textId="77777777" w:rsidR="00F53AB2" w:rsidRPr="00E51207" w:rsidRDefault="00F53AB2" w:rsidP="003C3DAA">
            <w:pPr>
              <w:jc w:val="center"/>
              <w:rPr>
                <w:color w:val="000000"/>
                <w:sz w:val="16"/>
                <w:szCs w:val="16"/>
              </w:rPr>
            </w:pPr>
            <w:r w:rsidRPr="00E51207">
              <w:rPr>
                <w:color w:val="000000"/>
                <w:sz w:val="16"/>
                <w:szCs w:val="16"/>
              </w:rPr>
              <w:t>28/38</w:t>
            </w:r>
          </w:p>
        </w:tc>
        <w:tc>
          <w:tcPr>
            <w:tcW w:w="274" w:type="pct"/>
            <w:shd w:val="clear" w:color="auto" w:fill="F2F2F2" w:themeFill="background1" w:themeFillShade="F2"/>
            <w:noWrap/>
            <w:vAlign w:val="center"/>
            <w:hideMark/>
          </w:tcPr>
          <w:p w14:paraId="6ACB072B" w14:textId="77777777" w:rsidR="00F53AB2" w:rsidRPr="00E51207" w:rsidRDefault="00F53AB2" w:rsidP="003C3DAA">
            <w:pPr>
              <w:jc w:val="right"/>
              <w:rPr>
                <w:color w:val="000000"/>
                <w:sz w:val="16"/>
                <w:szCs w:val="16"/>
              </w:rPr>
            </w:pPr>
            <w:r w:rsidRPr="00E51207">
              <w:rPr>
                <w:color w:val="000000"/>
                <w:sz w:val="16"/>
                <w:szCs w:val="16"/>
              </w:rPr>
              <w:t>73,68%</w:t>
            </w:r>
          </w:p>
        </w:tc>
        <w:tc>
          <w:tcPr>
            <w:tcW w:w="274" w:type="pct"/>
            <w:shd w:val="clear" w:color="auto" w:fill="auto"/>
            <w:noWrap/>
            <w:vAlign w:val="center"/>
            <w:hideMark/>
          </w:tcPr>
          <w:p w14:paraId="09DEE659" w14:textId="77777777" w:rsidR="00F53AB2" w:rsidRPr="00E51207" w:rsidRDefault="00F53AB2" w:rsidP="003C3DAA">
            <w:pPr>
              <w:jc w:val="center"/>
              <w:rPr>
                <w:color w:val="000000"/>
                <w:sz w:val="16"/>
                <w:szCs w:val="16"/>
              </w:rPr>
            </w:pPr>
            <w:r w:rsidRPr="00E51207">
              <w:rPr>
                <w:color w:val="000000"/>
                <w:sz w:val="16"/>
                <w:szCs w:val="16"/>
              </w:rPr>
              <w:t>28/38</w:t>
            </w:r>
          </w:p>
        </w:tc>
        <w:tc>
          <w:tcPr>
            <w:tcW w:w="274" w:type="pct"/>
            <w:shd w:val="clear" w:color="auto" w:fill="auto"/>
            <w:noWrap/>
            <w:vAlign w:val="center"/>
            <w:hideMark/>
          </w:tcPr>
          <w:p w14:paraId="4737A332" w14:textId="77777777" w:rsidR="00F53AB2" w:rsidRPr="00E51207" w:rsidRDefault="00F53AB2" w:rsidP="003C3DAA">
            <w:pPr>
              <w:jc w:val="right"/>
              <w:rPr>
                <w:color w:val="000000"/>
                <w:sz w:val="16"/>
                <w:szCs w:val="16"/>
              </w:rPr>
            </w:pPr>
            <w:r w:rsidRPr="00E51207">
              <w:rPr>
                <w:color w:val="000000"/>
                <w:sz w:val="16"/>
                <w:szCs w:val="16"/>
              </w:rPr>
              <w:t>73,68%</w:t>
            </w:r>
          </w:p>
        </w:tc>
        <w:tc>
          <w:tcPr>
            <w:tcW w:w="274" w:type="pct"/>
            <w:shd w:val="clear" w:color="auto" w:fill="F2F2F2" w:themeFill="background1" w:themeFillShade="F2"/>
            <w:noWrap/>
            <w:vAlign w:val="center"/>
            <w:hideMark/>
          </w:tcPr>
          <w:p w14:paraId="3C7C9E37" w14:textId="77777777" w:rsidR="00F53AB2" w:rsidRPr="00E51207" w:rsidRDefault="00F53AB2" w:rsidP="003C3DAA">
            <w:pPr>
              <w:jc w:val="center"/>
              <w:rPr>
                <w:color w:val="000000"/>
                <w:sz w:val="16"/>
                <w:szCs w:val="16"/>
              </w:rPr>
            </w:pPr>
            <w:r w:rsidRPr="00E51207">
              <w:rPr>
                <w:color w:val="000000"/>
                <w:sz w:val="16"/>
                <w:szCs w:val="16"/>
              </w:rPr>
              <w:t>32/38</w:t>
            </w:r>
          </w:p>
        </w:tc>
        <w:tc>
          <w:tcPr>
            <w:tcW w:w="274" w:type="pct"/>
            <w:shd w:val="clear" w:color="auto" w:fill="F2F2F2" w:themeFill="background1" w:themeFillShade="F2"/>
            <w:noWrap/>
            <w:vAlign w:val="center"/>
            <w:hideMark/>
          </w:tcPr>
          <w:p w14:paraId="13CE70C9" w14:textId="77777777" w:rsidR="00F53AB2" w:rsidRPr="00E51207" w:rsidRDefault="00F53AB2" w:rsidP="003C3DAA">
            <w:pPr>
              <w:jc w:val="right"/>
              <w:rPr>
                <w:color w:val="000000"/>
                <w:sz w:val="16"/>
                <w:szCs w:val="16"/>
              </w:rPr>
            </w:pPr>
            <w:r w:rsidRPr="00E51207">
              <w:rPr>
                <w:color w:val="000000"/>
                <w:sz w:val="16"/>
                <w:szCs w:val="16"/>
              </w:rPr>
              <w:t>84,21%</w:t>
            </w:r>
          </w:p>
        </w:tc>
      </w:tr>
      <w:tr w:rsidR="00F53AB2" w:rsidRPr="007B3AE5" w14:paraId="6EE5E1D9" w14:textId="77777777" w:rsidTr="002263D5">
        <w:trPr>
          <w:trHeight w:val="290"/>
        </w:trPr>
        <w:tc>
          <w:tcPr>
            <w:tcW w:w="199" w:type="pct"/>
            <w:shd w:val="clear" w:color="auto" w:fill="auto"/>
            <w:noWrap/>
            <w:vAlign w:val="center"/>
            <w:hideMark/>
          </w:tcPr>
          <w:p w14:paraId="5BAB67C8" w14:textId="77777777" w:rsidR="00F53AB2" w:rsidRPr="00E51207" w:rsidRDefault="00F53AB2" w:rsidP="003C3DAA">
            <w:pPr>
              <w:jc w:val="right"/>
              <w:rPr>
                <w:color w:val="000000"/>
                <w:sz w:val="16"/>
                <w:szCs w:val="16"/>
              </w:rPr>
            </w:pPr>
            <w:r w:rsidRPr="00E51207">
              <w:rPr>
                <w:color w:val="000000"/>
                <w:sz w:val="16"/>
                <w:szCs w:val="16"/>
              </w:rPr>
              <w:t>53.</w:t>
            </w:r>
          </w:p>
        </w:tc>
        <w:tc>
          <w:tcPr>
            <w:tcW w:w="2060" w:type="pct"/>
            <w:shd w:val="clear" w:color="auto" w:fill="auto"/>
            <w:noWrap/>
            <w:vAlign w:val="center"/>
            <w:hideMark/>
          </w:tcPr>
          <w:p w14:paraId="59B93D7E" w14:textId="77777777" w:rsidR="00F53AB2" w:rsidRPr="00E51207" w:rsidRDefault="00F53AB2" w:rsidP="003C3DAA">
            <w:pPr>
              <w:rPr>
                <w:color w:val="000000"/>
                <w:sz w:val="16"/>
                <w:szCs w:val="16"/>
              </w:rPr>
            </w:pPr>
            <w:r w:rsidRPr="00E51207">
              <w:rPr>
                <w:color w:val="000000"/>
                <w:sz w:val="16"/>
                <w:szCs w:val="16"/>
              </w:rPr>
              <w:t>Institut za nestale osobe BiH</w:t>
            </w:r>
          </w:p>
        </w:tc>
        <w:tc>
          <w:tcPr>
            <w:tcW w:w="274" w:type="pct"/>
            <w:shd w:val="clear" w:color="auto" w:fill="F2F2F2" w:themeFill="background1" w:themeFillShade="F2"/>
            <w:noWrap/>
            <w:vAlign w:val="center"/>
            <w:hideMark/>
          </w:tcPr>
          <w:p w14:paraId="327902CF"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676D9896"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7283A714"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3FAD9C62"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025527A8" w14:textId="77777777" w:rsidR="00F53AB2" w:rsidRPr="00E51207" w:rsidRDefault="00F53AB2" w:rsidP="003C3DAA">
            <w:pPr>
              <w:jc w:val="center"/>
              <w:rPr>
                <w:color w:val="000000"/>
                <w:sz w:val="16"/>
                <w:szCs w:val="16"/>
              </w:rPr>
            </w:pPr>
            <w:r w:rsidRPr="00E51207">
              <w:rPr>
                <w:color w:val="000000"/>
                <w:sz w:val="16"/>
                <w:szCs w:val="16"/>
              </w:rPr>
              <w:t>27/38</w:t>
            </w:r>
          </w:p>
        </w:tc>
        <w:tc>
          <w:tcPr>
            <w:tcW w:w="274" w:type="pct"/>
            <w:shd w:val="clear" w:color="auto" w:fill="F2F2F2" w:themeFill="background1" w:themeFillShade="F2"/>
            <w:noWrap/>
            <w:vAlign w:val="center"/>
            <w:hideMark/>
          </w:tcPr>
          <w:p w14:paraId="17DF1985" w14:textId="77777777" w:rsidR="00F53AB2" w:rsidRPr="00E51207" w:rsidRDefault="00F53AB2" w:rsidP="003C3DAA">
            <w:pPr>
              <w:jc w:val="right"/>
              <w:rPr>
                <w:color w:val="000000"/>
                <w:sz w:val="16"/>
                <w:szCs w:val="16"/>
              </w:rPr>
            </w:pPr>
            <w:r w:rsidRPr="00E51207">
              <w:rPr>
                <w:color w:val="000000"/>
                <w:sz w:val="16"/>
                <w:szCs w:val="16"/>
              </w:rPr>
              <w:t>71,05%</w:t>
            </w:r>
          </w:p>
        </w:tc>
        <w:tc>
          <w:tcPr>
            <w:tcW w:w="274" w:type="pct"/>
            <w:shd w:val="clear" w:color="auto" w:fill="auto"/>
            <w:noWrap/>
            <w:vAlign w:val="center"/>
            <w:hideMark/>
          </w:tcPr>
          <w:p w14:paraId="64E2D3B7" w14:textId="77777777" w:rsidR="00F53AB2" w:rsidRPr="00E51207" w:rsidRDefault="00F53AB2" w:rsidP="003C3DAA">
            <w:pPr>
              <w:jc w:val="center"/>
              <w:rPr>
                <w:color w:val="000000"/>
                <w:sz w:val="16"/>
                <w:szCs w:val="16"/>
              </w:rPr>
            </w:pPr>
            <w:r w:rsidRPr="00E51207">
              <w:rPr>
                <w:color w:val="000000"/>
                <w:sz w:val="16"/>
                <w:szCs w:val="16"/>
              </w:rPr>
              <w:t>32/38</w:t>
            </w:r>
          </w:p>
        </w:tc>
        <w:tc>
          <w:tcPr>
            <w:tcW w:w="274" w:type="pct"/>
            <w:shd w:val="clear" w:color="auto" w:fill="auto"/>
            <w:noWrap/>
            <w:vAlign w:val="center"/>
            <w:hideMark/>
          </w:tcPr>
          <w:p w14:paraId="6CE10080" w14:textId="77777777" w:rsidR="00F53AB2" w:rsidRPr="00E51207" w:rsidRDefault="00F53AB2" w:rsidP="003C3DAA">
            <w:pPr>
              <w:jc w:val="right"/>
              <w:rPr>
                <w:color w:val="000000"/>
                <w:sz w:val="16"/>
                <w:szCs w:val="16"/>
              </w:rPr>
            </w:pPr>
            <w:r w:rsidRPr="00E51207">
              <w:rPr>
                <w:color w:val="000000"/>
                <w:sz w:val="16"/>
                <w:szCs w:val="16"/>
              </w:rPr>
              <w:t>84,21%</w:t>
            </w:r>
          </w:p>
        </w:tc>
        <w:tc>
          <w:tcPr>
            <w:tcW w:w="274" w:type="pct"/>
            <w:shd w:val="clear" w:color="auto" w:fill="F2F2F2" w:themeFill="background1" w:themeFillShade="F2"/>
            <w:noWrap/>
            <w:vAlign w:val="center"/>
            <w:hideMark/>
          </w:tcPr>
          <w:p w14:paraId="0EDD135B"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523C506A" w14:textId="77777777" w:rsidR="00F53AB2" w:rsidRPr="00E51207" w:rsidRDefault="00F53AB2" w:rsidP="003C3DAA">
            <w:pPr>
              <w:jc w:val="right"/>
              <w:rPr>
                <w:color w:val="000000"/>
                <w:sz w:val="16"/>
                <w:szCs w:val="16"/>
              </w:rPr>
            </w:pPr>
            <w:r w:rsidRPr="00E51207">
              <w:rPr>
                <w:color w:val="000000"/>
                <w:sz w:val="16"/>
                <w:szCs w:val="16"/>
              </w:rPr>
              <w:t>/</w:t>
            </w:r>
          </w:p>
        </w:tc>
      </w:tr>
      <w:tr w:rsidR="00F53AB2" w:rsidRPr="007B3AE5" w14:paraId="773568AA" w14:textId="77777777" w:rsidTr="002263D5">
        <w:trPr>
          <w:trHeight w:val="290"/>
        </w:trPr>
        <w:tc>
          <w:tcPr>
            <w:tcW w:w="199" w:type="pct"/>
            <w:shd w:val="clear" w:color="auto" w:fill="auto"/>
            <w:noWrap/>
            <w:vAlign w:val="center"/>
            <w:hideMark/>
          </w:tcPr>
          <w:p w14:paraId="04163EE4" w14:textId="77777777" w:rsidR="00F53AB2" w:rsidRPr="00E51207" w:rsidRDefault="00F53AB2" w:rsidP="003C3DAA">
            <w:pPr>
              <w:jc w:val="right"/>
              <w:rPr>
                <w:color w:val="000000"/>
                <w:sz w:val="16"/>
                <w:szCs w:val="16"/>
              </w:rPr>
            </w:pPr>
            <w:r w:rsidRPr="00E51207">
              <w:rPr>
                <w:color w:val="000000"/>
                <w:sz w:val="16"/>
                <w:szCs w:val="16"/>
              </w:rPr>
              <w:t>54.</w:t>
            </w:r>
          </w:p>
        </w:tc>
        <w:tc>
          <w:tcPr>
            <w:tcW w:w="2060" w:type="pct"/>
            <w:shd w:val="clear" w:color="auto" w:fill="auto"/>
            <w:noWrap/>
            <w:vAlign w:val="center"/>
            <w:hideMark/>
          </w:tcPr>
          <w:p w14:paraId="64776A72" w14:textId="77777777" w:rsidR="00F53AB2" w:rsidRPr="00E51207" w:rsidRDefault="00F53AB2" w:rsidP="003C3DAA">
            <w:pPr>
              <w:rPr>
                <w:color w:val="000000"/>
                <w:sz w:val="16"/>
                <w:szCs w:val="16"/>
              </w:rPr>
            </w:pPr>
            <w:r w:rsidRPr="00E51207">
              <w:rPr>
                <w:color w:val="000000"/>
                <w:sz w:val="16"/>
                <w:szCs w:val="16"/>
              </w:rPr>
              <w:t>Ministarstvo civilnih poslova BiH</w:t>
            </w:r>
          </w:p>
        </w:tc>
        <w:tc>
          <w:tcPr>
            <w:tcW w:w="274" w:type="pct"/>
            <w:shd w:val="clear" w:color="auto" w:fill="F2F2F2" w:themeFill="background1" w:themeFillShade="F2"/>
            <w:noWrap/>
            <w:vAlign w:val="center"/>
            <w:hideMark/>
          </w:tcPr>
          <w:p w14:paraId="543B8B67" w14:textId="77777777" w:rsidR="00F53AB2" w:rsidRPr="00E51207" w:rsidRDefault="00F53AB2" w:rsidP="003C3DAA">
            <w:pPr>
              <w:jc w:val="center"/>
              <w:rPr>
                <w:color w:val="000000"/>
                <w:sz w:val="16"/>
                <w:szCs w:val="16"/>
              </w:rPr>
            </w:pPr>
            <w:r w:rsidRPr="00E51207">
              <w:rPr>
                <w:color w:val="000000"/>
                <w:sz w:val="16"/>
                <w:szCs w:val="16"/>
              </w:rPr>
              <w:t>30/38</w:t>
            </w:r>
          </w:p>
        </w:tc>
        <w:tc>
          <w:tcPr>
            <w:tcW w:w="274" w:type="pct"/>
            <w:shd w:val="clear" w:color="auto" w:fill="F2F2F2" w:themeFill="background1" w:themeFillShade="F2"/>
            <w:noWrap/>
            <w:vAlign w:val="center"/>
            <w:hideMark/>
          </w:tcPr>
          <w:p w14:paraId="0B5FCF27" w14:textId="77777777" w:rsidR="00F53AB2" w:rsidRPr="00E51207" w:rsidRDefault="00F53AB2" w:rsidP="003C3DAA">
            <w:pPr>
              <w:jc w:val="right"/>
              <w:rPr>
                <w:color w:val="000000"/>
                <w:sz w:val="16"/>
                <w:szCs w:val="16"/>
              </w:rPr>
            </w:pPr>
            <w:r w:rsidRPr="00E51207">
              <w:rPr>
                <w:color w:val="000000"/>
                <w:sz w:val="16"/>
                <w:szCs w:val="16"/>
              </w:rPr>
              <w:t>78,95%</w:t>
            </w:r>
          </w:p>
        </w:tc>
        <w:tc>
          <w:tcPr>
            <w:tcW w:w="274" w:type="pct"/>
            <w:shd w:val="clear" w:color="auto" w:fill="auto"/>
            <w:noWrap/>
            <w:vAlign w:val="center"/>
            <w:hideMark/>
          </w:tcPr>
          <w:p w14:paraId="759AD1BF" w14:textId="77777777" w:rsidR="00F53AB2" w:rsidRPr="00E51207" w:rsidRDefault="00F53AB2" w:rsidP="003C3DAA">
            <w:pPr>
              <w:jc w:val="center"/>
              <w:rPr>
                <w:color w:val="000000"/>
                <w:sz w:val="16"/>
                <w:szCs w:val="16"/>
              </w:rPr>
            </w:pPr>
            <w:r w:rsidRPr="00E51207">
              <w:rPr>
                <w:color w:val="000000"/>
                <w:sz w:val="16"/>
                <w:szCs w:val="16"/>
              </w:rPr>
              <w:t>31/38</w:t>
            </w:r>
          </w:p>
        </w:tc>
        <w:tc>
          <w:tcPr>
            <w:tcW w:w="274" w:type="pct"/>
            <w:shd w:val="clear" w:color="auto" w:fill="auto"/>
            <w:noWrap/>
            <w:vAlign w:val="center"/>
            <w:hideMark/>
          </w:tcPr>
          <w:p w14:paraId="4F6D90A2" w14:textId="77777777" w:rsidR="00F53AB2" w:rsidRPr="00E51207" w:rsidRDefault="00F53AB2" w:rsidP="003C3DAA">
            <w:pPr>
              <w:jc w:val="right"/>
              <w:rPr>
                <w:color w:val="000000"/>
                <w:sz w:val="16"/>
                <w:szCs w:val="16"/>
              </w:rPr>
            </w:pPr>
            <w:r w:rsidRPr="00E51207">
              <w:rPr>
                <w:color w:val="000000"/>
                <w:sz w:val="16"/>
                <w:szCs w:val="16"/>
              </w:rPr>
              <w:t>81,58%</w:t>
            </w:r>
          </w:p>
        </w:tc>
        <w:tc>
          <w:tcPr>
            <w:tcW w:w="274" w:type="pct"/>
            <w:shd w:val="clear" w:color="auto" w:fill="F2F2F2" w:themeFill="background1" w:themeFillShade="F2"/>
            <w:noWrap/>
            <w:vAlign w:val="center"/>
            <w:hideMark/>
          </w:tcPr>
          <w:p w14:paraId="3952879F" w14:textId="77777777" w:rsidR="00F53AB2" w:rsidRPr="00E51207" w:rsidRDefault="00F53AB2" w:rsidP="003C3DAA">
            <w:pPr>
              <w:jc w:val="center"/>
              <w:rPr>
                <w:color w:val="000000"/>
                <w:sz w:val="16"/>
                <w:szCs w:val="16"/>
              </w:rPr>
            </w:pPr>
            <w:r w:rsidRPr="00E51207">
              <w:rPr>
                <w:color w:val="000000"/>
                <w:sz w:val="16"/>
                <w:szCs w:val="16"/>
              </w:rPr>
              <w:t>29/38</w:t>
            </w:r>
          </w:p>
        </w:tc>
        <w:tc>
          <w:tcPr>
            <w:tcW w:w="274" w:type="pct"/>
            <w:shd w:val="clear" w:color="auto" w:fill="F2F2F2" w:themeFill="background1" w:themeFillShade="F2"/>
            <w:noWrap/>
            <w:vAlign w:val="center"/>
            <w:hideMark/>
          </w:tcPr>
          <w:p w14:paraId="2E29A066" w14:textId="77777777" w:rsidR="00F53AB2" w:rsidRPr="00E51207" w:rsidRDefault="00F53AB2" w:rsidP="003C3DAA">
            <w:pPr>
              <w:jc w:val="right"/>
              <w:rPr>
                <w:color w:val="000000"/>
                <w:sz w:val="16"/>
                <w:szCs w:val="16"/>
              </w:rPr>
            </w:pPr>
            <w:r w:rsidRPr="00E51207">
              <w:rPr>
                <w:color w:val="000000"/>
                <w:sz w:val="16"/>
                <w:szCs w:val="16"/>
              </w:rPr>
              <w:t>76,32%</w:t>
            </w:r>
          </w:p>
        </w:tc>
        <w:tc>
          <w:tcPr>
            <w:tcW w:w="274" w:type="pct"/>
            <w:shd w:val="clear" w:color="auto" w:fill="auto"/>
            <w:noWrap/>
            <w:vAlign w:val="center"/>
            <w:hideMark/>
          </w:tcPr>
          <w:p w14:paraId="0DFB4765"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7BEE951A"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0ADAF51E" w14:textId="77777777" w:rsidR="00F53AB2" w:rsidRPr="00E51207" w:rsidRDefault="00F53AB2" w:rsidP="003C3DAA">
            <w:pPr>
              <w:jc w:val="center"/>
              <w:rPr>
                <w:color w:val="000000"/>
                <w:sz w:val="16"/>
                <w:szCs w:val="16"/>
              </w:rPr>
            </w:pPr>
            <w:r w:rsidRPr="00E51207">
              <w:rPr>
                <w:color w:val="000000"/>
                <w:sz w:val="16"/>
                <w:szCs w:val="16"/>
              </w:rPr>
              <w:t>32/38</w:t>
            </w:r>
          </w:p>
        </w:tc>
        <w:tc>
          <w:tcPr>
            <w:tcW w:w="274" w:type="pct"/>
            <w:shd w:val="clear" w:color="auto" w:fill="F2F2F2" w:themeFill="background1" w:themeFillShade="F2"/>
            <w:noWrap/>
            <w:vAlign w:val="center"/>
            <w:hideMark/>
          </w:tcPr>
          <w:p w14:paraId="0CFA3E51" w14:textId="77777777" w:rsidR="00F53AB2" w:rsidRPr="00E51207" w:rsidRDefault="00F53AB2" w:rsidP="003C3DAA">
            <w:pPr>
              <w:jc w:val="right"/>
              <w:rPr>
                <w:color w:val="000000"/>
                <w:sz w:val="16"/>
                <w:szCs w:val="16"/>
              </w:rPr>
            </w:pPr>
            <w:r w:rsidRPr="00E51207">
              <w:rPr>
                <w:color w:val="000000"/>
                <w:sz w:val="16"/>
                <w:szCs w:val="16"/>
              </w:rPr>
              <w:t>84,21%</w:t>
            </w:r>
          </w:p>
        </w:tc>
      </w:tr>
      <w:tr w:rsidR="00F53AB2" w:rsidRPr="007B3AE5" w14:paraId="79591BD7" w14:textId="77777777" w:rsidTr="002263D5">
        <w:trPr>
          <w:trHeight w:val="290"/>
        </w:trPr>
        <w:tc>
          <w:tcPr>
            <w:tcW w:w="199" w:type="pct"/>
            <w:shd w:val="clear" w:color="auto" w:fill="auto"/>
            <w:noWrap/>
            <w:vAlign w:val="center"/>
            <w:hideMark/>
          </w:tcPr>
          <w:p w14:paraId="56FD2749" w14:textId="77777777" w:rsidR="00F53AB2" w:rsidRPr="00E51207" w:rsidRDefault="00F53AB2" w:rsidP="003C3DAA">
            <w:pPr>
              <w:jc w:val="right"/>
              <w:rPr>
                <w:color w:val="000000"/>
                <w:sz w:val="16"/>
                <w:szCs w:val="16"/>
              </w:rPr>
            </w:pPr>
            <w:r w:rsidRPr="00E51207">
              <w:rPr>
                <w:color w:val="000000"/>
                <w:sz w:val="16"/>
                <w:szCs w:val="16"/>
              </w:rPr>
              <w:t>55.</w:t>
            </w:r>
          </w:p>
        </w:tc>
        <w:tc>
          <w:tcPr>
            <w:tcW w:w="2060" w:type="pct"/>
            <w:shd w:val="clear" w:color="auto" w:fill="auto"/>
            <w:noWrap/>
            <w:vAlign w:val="center"/>
            <w:hideMark/>
          </w:tcPr>
          <w:p w14:paraId="48D8FA27" w14:textId="77777777" w:rsidR="00F53AB2" w:rsidRPr="00E51207" w:rsidRDefault="00F53AB2" w:rsidP="003C3DAA">
            <w:pPr>
              <w:rPr>
                <w:color w:val="000000"/>
                <w:sz w:val="16"/>
                <w:szCs w:val="16"/>
              </w:rPr>
            </w:pPr>
            <w:r w:rsidRPr="00E51207">
              <w:rPr>
                <w:color w:val="000000"/>
                <w:sz w:val="16"/>
                <w:szCs w:val="16"/>
              </w:rPr>
              <w:t>Ministarstvo finansija i trezora BiH</w:t>
            </w:r>
          </w:p>
        </w:tc>
        <w:tc>
          <w:tcPr>
            <w:tcW w:w="274" w:type="pct"/>
            <w:shd w:val="clear" w:color="auto" w:fill="F2F2F2" w:themeFill="background1" w:themeFillShade="F2"/>
            <w:noWrap/>
            <w:vAlign w:val="center"/>
            <w:hideMark/>
          </w:tcPr>
          <w:p w14:paraId="470193D1" w14:textId="77777777" w:rsidR="00F53AB2" w:rsidRPr="00E51207" w:rsidRDefault="00F53AB2" w:rsidP="003C3DAA">
            <w:pPr>
              <w:jc w:val="center"/>
              <w:rPr>
                <w:color w:val="000000"/>
                <w:sz w:val="16"/>
                <w:szCs w:val="16"/>
              </w:rPr>
            </w:pPr>
            <w:r w:rsidRPr="00E51207">
              <w:rPr>
                <w:color w:val="000000"/>
                <w:sz w:val="16"/>
                <w:szCs w:val="16"/>
              </w:rPr>
              <w:t>25/38</w:t>
            </w:r>
          </w:p>
        </w:tc>
        <w:tc>
          <w:tcPr>
            <w:tcW w:w="274" w:type="pct"/>
            <w:shd w:val="clear" w:color="auto" w:fill="F2F2F2" w:themeFill="background1" w:themeFillShade="F2"/>
            <w:noWrap/>
            <w:vAlign w:val="center"/>
            <w:hideMark/>
          </w:tcPr>
          <w:p w14:paraId="2290971D" w14:textId="77777777" w:rsidR="00F53AB2" w:rsidRPr="00E51207" w:rsidRDefault="00F53AB2" w:rsidP="003C3DAA">
            <w:pPr>
              <w:jc w:val="right"/>
              <w:rPr>
                <w:color w:val="000000"/>
                <w:sz w:val="16"/>
                <w:szCs w:val="16"/>
              </w:rPr>
            </w:pPr>
            <w:r w:rsidRPr="00E51207">
              <w:rPr>
                <w:color w:val="000000"/>
                <w:sz w:val="16"/>
                <w:szCs w:val="16"/>
              </w:rPr>
              <w:t>65,79%</w:t>
            </w:r>
          </w:p>
        </w:tc>
        <w:tc>
          <w:tcPr>
            <w:tcW w:w="274" w:type="pct"/>
            <w:shd w:val="clear" w:color="auto" w:fill="auto"/>
            <w:noWrap/>
            <w:vAlign w:val="center"/>
            <w:hideMark/>
          </w:tcPr>
          <w:p w14:paraId="2001F360"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05E27A6D"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5C7F6530" w14:textId="77777777" w:rsidR="00F53AB2" w:rsidRPr="00E51207" w:rsidRDefault="00F53AB2" w:rsidP="003C3DAA">
            <w:pPr>
              <w:jc w:val="center"/>
              <w:rPr>
                <w:color w:val="000000"/>
                <w:sz w:val="16"/>
                <w:szCs w:val="16"/>
              </w:rPr>
            </w:pPr>
            <w:r w:rsidRPr="00E51207">
              <w:rPr>
                <w:color w:val="000000"/>
                <w:sz w:val="16"/>
                <w:szCs w:val="16"/>
              </w:rPr>
              <w:t>24/38</w:t>
            </w:r>
          </w:p>
        </w:tc>
        <w:tc>
          <w:tcPr>
            <w:tcW w:w="274" w:type="pct"/>
            <w:shd w:val="clear" w:color="auto" w:fill="F2F2F2" w:themeFill="background1" w:themeFillShade="F2"/>
            <w:noWrap/>
            <w:vAlign w:val="center"/>
            <w:hideMark/>
          </w:tcPr>
          <w:p w14:paraId="1E59C81E" w14:textId="77777777" w:rsidR="00F53AB2" w:rsidRPr="00E51207" w:rsidRDefault="00F53AB2" w:rsidP="003C3DAA">
            <w:pPr>
              <w:jc w:val="right"/>
              <w:rPr>
                <w:color w:val="000000"/>
                <w:sz w:val="16"/>
                <w:szCs w:val="16"/>
              </w:rPr>
            </w:pPr>
            <w:r w:rsidRPr="00E51207">
              <w:rPr>
                <w:color w:val="000000"/>
                <w:sz w:val="16"/>
                <w:szCs w:val="16"/>
              </w:rPr>
              <w:t>63,16%</w:t>
            </w:r>
          </w:p>
        </w:tc>
        <w:tc>
          <w:tcPr>
            <w:tcW w:w="274" w:type="pct"/>
            <w:shd w:val="clear" w:color="auto" w:fill="auto"/>
            <w:noWrap/>
            <w:vAlign w:val="center"/>
            <w:hideMark/>
          </w:tcPr>
          <w:p w14:paraId="755EED07" w14:textId="77777777" w:rsidR="00F53AB2" w:rsidRPr="00E51207" w:rsidRDefault="00F53AB2" w:rsidP="003C3DAA">
            <w:pPr>
              <w:jc w:val="center"/>
              <w:rPr>
                <w:color w:val="000000"/>
                <w:sz w:val="16"/>
                <w:szCs w:val="16"/>
              </w:rPr>
            </w:pPr>
            <w:r w:rsidRPr="00E51207">
              <w:rPr>
                <w:color w:val="000000"/>
                <w:sz w:val="16"/>
                <w:szCs w:val="16"/>
              </w:rPr>
              <w:t>31/38</w:t>
            </w:r>
          </w:p>
        </w:tc>
        <w:tc>
          <w:tcPr>
            <w:tcW w:w="274" w:type="pct"/>
            <w:shd w:val="clear" w:color="auto" w:fill="auto"/>
            <w:noWrap/>
            <w:vAlign w:val="center"/>
            <w:hideMark/>
          </w:tcPr>
          <w:p w14:paraId="55B82658" w14:textId="77777777" w:rsidR="00F53AB2" w:rsidRPr="00E51207" w:rsidRDefault="00F53AB2" w:rsidP="003C3DAA">
            <w:pPr>
              <w:jc w:val="right"/>
              <w:rPr>
                <w:color w:val="000000"/>
                <w:sz w:val="16"/>
                <w:szCs w:val="16"/>
              </w:rPr>
            </w:pPr>
            <w:r w:rsidRPr="00E51207">
              <w:rPr>
                <w:color w:val="000000"/>
                <w:sz w:val="16"/>
                <w:szCs w:val="16"/>
              </w:rPr>
              <w:t>81,58%</w:t>
            </w:r>
          </w:p>
        </w:tc>
        <w:tc>
          <w:tcPr>
            <w:tcW w:w="274" w:type="pct"/>
            <w:shd w:val="clear" w:color="auto" w:fill="F2F2F2" w:themeFill="background1" w:themeFillShade="F2"/>
            <w:noWrap/>
            <w:vAlign w:val="center"/>
            <w:hideMark/>
          </w:tcPr>
          <w:p w14:paraId="14A3E11A" w14:textId="77777777" w:rsidR="00F53AB2" w:rsidRPr="00E51207" w:rsidRDefault="00F53AB2" w:rsidP="003C3DAA">
            <w:pPr>
              <w:jc w:val="center"/>
              <w:rPr>
                <w:color w:val="000000"/>
                <w:sz w:val="16"/>
                <w:szCs w:val="16"/>
              </w:rPr>
            </w:pPr>
            <w:r w:rsidRPr="00E51207">
              <w:rPr>
                <w:color w:val="000000"/>
                <w:sz w:val="16"/>
                <w:szCs w:val="16"/>
              </w:rPr>
              <w:t>32/38</w:t>
            </w:r>
          </w:p>
        </w:tc>
        <w:tc>
          <w:tcPr>
            <w:tcW w:w="274" w:type="pct"/>
            <w:shd w:val="clear" w:color="auto" w:fill="F2F2F2" w:themeFill="background1" w:themeFillShade="F2"/>
            <w:noWrap/>
            <w:vAlign w:val="center"/>
            <w:hideMark/>
          </w:tcPr>
          <w:p w14:paraId="6DFF61D5" w14:textId="77777777" w:rsidR="00F53AB2" w:rsidRPr="00E51207" w:rsidRDefault="00F53AB2" w:rsidP="003C3DAA">
            <w:pPr>
              <w:jc w:val="right"/>
              <w:rPr>
                <w:color w:val="000000"/>
                <w:sz w:val="16"/>
                <w:szCs w:val="16"/>
              </w:rPr>
            </w:pPr>
            <w:r w:rsidRPr="00E51207">
              <w:rPr>
                <w:color w:val="000000"/>
                <w:sz w:val="16"/>
                <w:szCs w:val="16"/>
              </w:rPr>
              <w:t>84,21%</w:t>
            </w:r>
          </w:p>
        </w:tc>
      </w:tr>
      <w:tr w:rsidR="00F53AB2" w:rsidRPr="007B3AE5" w14:paraId="6CFE1ED0" w14:textId="77777777" w:rsidTr="002263D5">
        <w:trPr>
          <w:trHeight w:val="290"/>
        </w:trPr>
        <w:tc>
          <w:tcPr>
            <w:tcW w:w="199" w:type="pct"/>
            <w:shd w:val="clear" w:color="auto" w:fill="auto"/>
            <w:noWrap/>
            <w:vAlign w:val="center"/>
            <w:hideMark/>
          </w:tcPr>
          <w:p w14:paraId="6A8E03DC" w14:textId="77777777" w:rsidR="00F53AB2" w:rsidRPr="00E51207" w:rsidRDefault="00F53AB2" w:rsidP="003C3DAA">
            <w:pPr>
              <w:jc w:val="right"/>
              <w:rPr>
                <w:color w:val="000000"/>
                <w:sz w:val="16"/>
                <w:szCs w:val="16"/>
              </w:rPr>
            </w:pPr>
            <w:r w:rsidRPr="00E51207">
              <w:rPr>
                <w:color w:val="000000"/>
                <w:sz w:val="16"/>
                <w:szCs w:val="16"/>
              </w:rPr>
              <w:t>56.</w:t>
            </w:r>
          </w:p>
        </w:tc>
        <w:tc>
          <w:tcPr>
            <w:tcW w:w="2060" w:type="pct"/>
            <w:shd w:val="clear" w:color="auto" w:fill="auto"/>
            <w:noWrap/>
            <w:vAlign w:val="center"/>
            <w:hideMark/>
          </w:tcPr>
          <w:p w14:paraId="6536F965" w14:textId="77777777" w:rsidR="00F53AB2" w:rsidRPr="00E51207" w:rsidRDefault="00F53AB2" w:rsidP="003C3DAA">
            <w:pPr>
              <w:rPr>
                <w:color w:val="000000"/>
                <w:sz w:val="16"/>
                <w:szCs w:val="16"/>
              </w:rPr>
            </w:pPr>
            <w:r w:rsidRPr="00E51207">
              <w:rPr>
                <w:color w:val="000000"/>
                <w:sz w:val="16"/>
                <w:szCs w:val="16"/>
              </w:rPr>
              <w:t>Centralna harmonizacijska jedinica Ministarstva finansija i trezora BiH</w:t>
            </w:r>
          </w:p>
        </w:tc>
        <w:tc>
          <w:tcPr>
            <w:tcW w:w="274" w:type="pct"/>
            <w:shd w:val="clear" w:color="auto" w:fill="F2F2F2" w:themeFill="background1" w:themeFillShade="F2"/>
            <w:noWrap/>
            <w:vAlign w:val="center"/>
            <w:hideMark/>
          </w:tcPr>
          <w:p w14:paraId="090A75CE" w14:textId="77777777" w:rsidR="00F53AB2" w:rsidRPr="00E51207" w:rsidRDefault="00F53AB2" w:rsidP="003C3DAA">
            <w:pPr>
              <w:jc w:val="center"/>
              <w:rPr>
                <w:color w:val="000000"/>
                <w:sz w:val="16"/>
                <w:szCs w:val="16"/>
              </w:rPr>
            </w:pPr>
            <w:r w:rsidRPr="00E51207">
              <w:rPr>
                <w:color w:val="000000"/>
                <w:sz w:val="16"/>
                <w:szCs w:val="16"/>
              </w:rPr>
              <w:t>21/38</w:t>
            </w:r>
          </w:p>
        </w:tc>
        <w:tc>
          <w:tcPr>
            <w:tcW w:w="274" w:type="pct"/>
            <w:shd w:val="clear" w:color="auto" w:fill="F2F2F2" w:themeFill="background1" w:themeFillShade="F2"/>
            <w:noWrap/>
            <w:vAlign w:val="center"/>
            <w:hideMark/>
          </w:tcPr>
          <w:p w14:paraId="715618B4" w14:textId="77777777" w:rsidR="00F53AB2" w:rsidRPr="00E51207" w:rsidRDefault="00F53AB2" w:rsidP="003C3DAA">
            <w:pPr>
              <w:jc w:val="right"/>
              <w:rPr>
                <w:color w:val="000000"/>
                <w:sz w:val="16"/>
                <w:szCs w:val="16"/>
              </w:rPr>
            </w:pPr>
            <w:r w:rsidRPr="00E51207">
              <w:rPr>
                <w:color w:val="000000"/>
                <w:sz w:val="16"/>
                <w:szCs w:val="16"/>
              </w:rPr>
              <w:t>55,26%</w:t>
            </w:r>
          </w:p>
        </w:tc>
        <w:tc>
          <w:tcPr>
            <w:tcW w:w="274" w:type="pct"/>
            <w:shd w:val="clear" w:color="auto" w:fill="auto"/>
            <w:noWrap/>
            <w:vAlign w:val="center"/>
            <w:hideMark/>
          </w:tcPr>
          <w:p w14:paraId="0EFEAC6D" w14:textId="77777777" w:rsidR="00F53AB2" w:rsidRPr="00E51207" w:rsidRDefault="00F53AB2" w:rsidP="003C3DAA">
            <w:pPr>
              <w:jc w:val="center"/>
              <w:rPr>
                <w:color w:val="000000"/>
                <w:sz w:val="16"/>
                <w:szCs w:val="16"/>
              </w:rPr>
            </w:pPr>
            <w:r w:rsidRPr="00E51207">
              <w:rPr>
                <w:color w:val="000000"/>
                <w:sz w:val="16"/>
                <w:szCs w:val="16"/>
              </w:rPr>
              <w:t>22/38</w:t>
            </w:r>
          </w:p>
        </w:tc>
        <w:tc>
          <w:tcPr>
            <w:tcW w:w="274" w:type="pct"/>
            <w:shd w:val="clear" w:color="auto" w:fill="auto"/>
            <w:noWrap/>
            <w:vAlign w:val="center"/>
            <w:hideMark/>
          </w:tcPr>
          <w:p w14:paraId="5B298EF6" w14:textId="77777777" w:rsidR="00F53AB2" w:rsidRPr="00E51207" w:rsidRDefault="00F53AB2" w:rsidP="003C3DAA">
            <w:pPr>
              <w:jc w:val="right"/>
              <w:rPr>
                <w:color w:val="000000"/>
                <w:sz w:val="16"/>
                <w:szCs w:val="16"/>
              </w:rPr>
            </w:pPr>
            <w:r w:rsidRPr="00E51207">
              <w:rPr>
                <w:color w:val="000000"/>
                <w:sz w:val="16"/>
                <w:szCs w:val="16"/>
              </w:rPr>
              <w:t>57,89%</w:t>
            </w:r>
          </w:p>
        </w:tc>
        <w:tc>
          <w:tcPr>
            <w:tcW w:w="274" w:type="pct"/>
            <w:shd w:val="clear" w:color="auto" w:fill="F2F2F2" w:themeFill="background1" w:themeFillShade="F2"/>
            <w:noWrap/>
            <w:vAlign w:val="center"/>
            <w:hideMark/>
          </w:tcPr>
          <w:p w14:paraId="645E6A80" w14:textId="77777777" w:rsidR="00F53AB2" w:rsidRPr="00E51207" w:rsidRDefault="00F53AB2" w:rsidP="003C3DAA">
            <w:pPr>
              <w:jc w:val="center"/>
              <w:rPr>
                <w:color w:val="000000"/>
                <w:sz w:val="16"/>
                <w:szCs w:val="16"/>
              </w:rPr>
            </w:pPr>
            <w:r w:rsidRPr="00E51207">
              <w:rPr>
                <w:color w:val="000000"/>
                <w:sz w:val="16"/>
                <w:szCs w:val="16"/>
              </w:rPr>
              <w:t>19/38</w:t>
            </w:r>
          </w:p>
        </w:tc>
        <w:tc>
          <w:tcPr>
            <w:tcW w:w="274" w:type="pct"/>
            <w:shd w:val="clear" w:color="auto" w:fill="F2F2F2" w:themeFill="background1" w:themeFillShade="F2"/>
            <w:noWrap/>
            <w:vAlign w:val="center"/>
            <w:hideMark/>
          </w:tcPr>
          <w:p w14:paraId="1528A95D" w14:textId="77777777" w:rsidR="00F53AB2" w:rsidRPr="00E51207" w:rsidRDefault="00F53AB2" w:rsidP="003C3DAA">
            <w:pPr>
              <w:jc w:val="right"/>
              <w:rPr>
                <w:color w:val="000000"/>
                <w:sz w:val="16"/>
                <w:szCs w:val="16"/>
              </w:rPr>
            </w:pPr>
            <w:r w:rsidRPr="00E51207">
              <w:rPr>
                <w:color w:val="000000"/>
                <w:sz w:val="16"/>
                <w:szCs w:val="16"/>
              </w:rPr>
              <w:t>50</w:t>
            </w:r>
            <w:r>
              <w:rPr>
                <w:color w:val="000000"/>
                <w:sz w:val="16"/>
                <w:szCs w:val="16"/>
              </w:rPr>
              <w:t>,00</w:t>
            </w:r>
            <w:r w:rsidRPr="00E51207">
              <w:rPr>
                <w:color w:val="000000"/>
                <w:sz w:val="16"/>
                <w:szCs w:val="16"/>
              </w:rPr>
              <w:t>%</w:t>
            </w:r>
          </w:p>
        </w:tc>
        <w:tc>
          <w:tcPr>
            <w:tcW w:w="274" w:type="pct"/>
            <w:shd w:val="clear" w:color="auto" w:fill="auto"/>
            <w:noWrap/>
            <w:vAlign w:val="center"/>
            <w:hideMark/>
          </w:tcPr>
          <w:p w14:paraId="53F607BC" w14:textId="77777777" w:rsidR="00F53AB2" w:rsidRPr="00E51207" w:rsidRDefault="00F53AB2" w:rsidP="003C3DAA">
            <w:pPr>
              <w:jc w:val="center"/>
              <w:rPr>
                <w:color w:val="000000"/>
                <w:sz w:val="16"/>
                <w:szCs w:val="16"/>
              </w:rPr>
            </w:pPr>
            <w:r w:rsidRPr="00E51207">
              <w:rPr>
                <w:color w:val="000000"/>
                <w:sz w:val="16"/>
                <w:szCs w:val="16"/>
              </w:rPr>
              <w:t>24/38</w:t>
            </w:r>
          </w:p>
        </w:tc>
        <w:tc>
          <w:tcPr>
            <w:tcW w:w="274" w:type="pct"/>
            <w:shd w:val="clear" w:color="auto" w:fill="auto"/>
            <w:noWrap/>
            <w:vAlign w:val="center"/>
            <w:hideMark/>
          </w:tcPr>
          <w:p w14:paraId="2093A4EB" w14:textId="77777777" w:rsidR="00F53AB2" w:rsidRPr="00E51207" w:rsidRDefault="00F53AB2" w:rsidP="003C3DAA">
            <w:pPr>
              <w:jc w:val="right"/>
              <w:rPr>
                <w:color w:val="000000"/>
                <w:sz w:val="16"/>
                <w:szCs w:val="16"/>
              </w:rPr>
            </w:pPr>
            <w:r w:rsidRPr="00E51207">
              <w:rPr>
                <w:color w:val="000000"/>
                <w:sz w:val="16"/>
                <w:szCs w:val="16"/>
              </w:rPr>
              <w:t>63,16%</w:t>
            </w:r>
          </w:p>
        </w:tc>
        <w:tc>
          <w:tcPr>
            <w:tcW w:w="274" w:type="pct"/>
            <w:shd w:val="clear" w:color="auto" w:fill="F2F2F2" w:themeFill="background1" w:themeFillShade="F2"/>
            <w:noWrap/>
            <w:vAlign w:val="center"/>
            <w:hideMark/>
          </w:tcPr>
          <w:p w14:paraId="5B2A9B3E" w14:textId="77777777" w:rsidR="00F53AB2" w:rsidRPr="00E51207" w:rsidRDefault="00F53AB2" w:rsidP="003C3DAA">
            <w:pPr>
              <w:jc w:val="center"/>
              <w:rPr>
                <w:color w:val="000000"/>
                <w:sz w:val="16"/>
                <w:szCs w:val="16"/>
              </w:rPr>
            </w:pPr>
            <w:r w:rsidRPr="00E51207">
              <w:rPr>
                <w:color w:val="000000"/>
                <w:sz w:val="16"/>
                <w:szCs w:val="16"/>
              </w:rPr>
              <w:t>33/38</w:t>
            </w:r>
          </w:p>
        </w:tc>
        <w:tc>
          <w:tcPr>
            <w:tcW w:w="274" w:type="pct"/>
            <w:shd w:val="clear" w:color="auto" w:fill="F2F2F2" w:themeFill="background1" w:themeFillShade="F2"/>
            <w:noWrap/>
            <w:vAlign w:val="center"/>
            <w:hideMark/>
          </w:tcPr>
          <w:p w14:paraId="0C928B7E" w14:textId="77777777" w:rsidR="00F53AB2" w:rsidRPr="00E51207" w:rsidRDefault="00F53AB2" w:rsidP="003C3DAA">
            <w:pPr>
              <w:jc w:val="right"/>
              <w:rPr>
                <w:color w:val="000000"/>
                <w:sz w:val="16"/>
                <w:szCs w:val="16"/>
              </w:rPr>
            </w:pPr>
            <w:r w:rsidRPr="00E51207">
              <w:rPr>
                <w:color w:val="000000"/>
                <w:sz w:val="16"/>
                <w:szCs w:val="16"/>
              </w:rPr>
              <w:t>86,84%</w:t>
            </w:r>
          </w:p>
        </w:tc>
      </w:tr>
      <w:tr w:rsidR="00F53AB2" w:rsidRPr="007B3AE5" w14:paraId="02739756" w14:textId="77777777" w:rsidTr="002263D5">
        <w:trPr>
          <w:trHeight w:val="290"/>
        </w:trPr>
        <w:tc>
          <w:tcPr>
            <w:tcW w:w="199" w:type="pct"/>
            <w:shd w:val="clear" w:color="auto" w:fill="auto"/>
            <w:noWrap/>
            <w:vAlign w:val="center"/>
            <w:hideMark/>
          </w:tcPr>
          <w:p w14:paraId="6BF0FAAF" w14:textId="77777777" w:rsidR="00F53AB2" w:rsidRPr="00E51207" w:rsidRDefault="00F53AB2" w:rsidP="003C3DAA">
            <w:pPr>
              <w:jc w:val="right"/>
              <w:rPr>
                <w:color w:val="000000"/>
                <w:sz w:val="16"/>
                <w:szCs w:val="16"/>
              </w:rPr>
            </w:pPr>
            <w:r w:rsidRPr="00E51207">
              <w:rPr>
                <w:color w:val="000000"/>
                <w:sz w:val="16"/>
                <w:szCs w:val="16"/>
              </w:rPr>
              <w:t>57.</w:t>
            </w:r>
          </w:p>
        </w:tc>
        <w:tc>
          <w:tcPr>
            <w:tcW w:w="2060" w:type="pct"/>
            <w:shd w:val="clear" w:color="auto" w:fill="auto"/>
            <w:noWrap/>
            <w:vAlign w:val="center"/>
            <w:hideMark/>
          </w:tcPr>
          <w:p w14:paraId="16CE05C9" w14:textId="77777777" w:rsidR="00F53AB2" w:rsidRPr="00E51207" w:rsidRDefault="00F53AB2" w:rsidP="003C3DAA">
            <w:pPr>
              <w:rPr>
                <w:color w:val="000000"/>
                <w:sz w:val="16"/>
                <w:szCs w:val="16"/>
              </w:rPr>
            </w:pPr>
            <w:r w:rsidRPr="00E51207">
              <w:rPr>
                <w:color w:val="000000"/>
                <w:sz w:val="16"/>
                <w:szCs w:val="16"/>
              </w:rPr>
              <w:t>Direkcija za civilno zrakoplovstvo BiH</w:t>
            </w:r>
          </w:p>
        </w:tc>
        <w:tc>
          <w:tcPr>
            <w:tcW w:w="274" w:type="pct"/>
            <w:shd w:val="clear" w:color="auto" w:fill="F2F2F2" w:themeFill="background1" w:themeFillShade="F2"/>
            <w:noWrap/>
            <w:vAlign w:val="center"/>
            <w:hideMark/>
          </w:tcPr>
          <w:p w14:paraId="78C0AD62" w14:textId="77777777" w:rsidR="00F53AB2" w:rsidRPr="00E51207" w:rsidRDefault="00F53AB2" w:rsidP="003C3DAA">
            <w:pPr>
              <w:jc w:val="center"/>
              <w:rPr>
                <w:color w:val="000000"/>
                <w:sz w:val="16"/>
                <w:szCs w:val="16"/>
              </w:rPr>
            </w:pPr>
            <w:r w:rsidRPr="00E51207">
              <w:rPr>
                <w:color w:val="000000"/>
                <w:sz w:val="16"/>
                <w:szCs w:val="16"/>
              </w:rPr>
              <w:t>34/38</w:t>
            </w:r>
          </w:p>
        </w:tc>
        <w:tc>
          <w:tcPr>
            <w:tcW w:w="274" w:type="pct"/>
            <w:shd w:val="clear" w:color="auto" w:fill="F2F2F2" w:themeFill="background1" w:themeFillShade="F2"/>
            <w:noWrap/>
            <w:vAlign w:val="center"/>
            <w:hideMark/>
          </w:tcPr>
          <w:p w14:paraId="12C87FBE" w14:textId="77777777" w:rsidR="00F53AB2" w:rsidRPr="00E51207" w:rsidRDefault="00F53AB2" w:rsidP="003C3DAA">
            <w:pPr>
              <w:jc w:val="right"/>
              <w:rPr>
                <w:color w:val="000000"/>
                <w:sz w:val="16"/>
                <w:szCs w:val="16"/>
              </w:rPr>
            </w:pPr>
            <w:r w:rsidRPr="00E51207">
              <w:rPr>
                <w:color w:val="000000"/>
                <w:sz w:val="16"/>
                <w:szCs w:val="16"/>
              </w:rPr>
              <w:t>89,47%</w:t>
            </w:r>
          </w:p>
        </w:tc>
        <w:tc>
          <w:tcPr>
            <w:tcW w:w="274" w:type="pct"/>
            <w:shd w:val="clear" w:color="auto" w:fill="auto"/>
            <w:noWrap/>
            <w:vAlign w:val="center"/>
            <w:hideMark/>
          </w:tcPr>
          <w:p w14:paraId="30D9484F" w14:textId="77777777" w:rsidR="00F53AB2" w:rsidRPr="00E51207" w:rsidRDefault="00F53AB2" w:rsidP="003C3DAA">
            <w:pPr>
              <w:jc w:val="center"/>
              <w:rPr>
                <w:color w:val="000000"/>
                <w:sz w:val="16"/>
                <w:szCs w:val="16"/>
              </w:rPr>
            </w:pPr>
            <w:r w:rsidRPr="00E51207">
              <w:rPr>
                <w:color w:val="000000"/>
                <w:sz w:val="16"/>
                <w:szCs w:val="16"/>
              </w:rPr>
              <w:t>35/38</w:t>
            </w:r>
          </w:p>
        </w:tc>
        <w:tc>
          <w:tcPr>
            <w:tcW w:w="274" w:type="pct"/>
            <w:shd w:val="clear" w:color="auto" w:fill="auto"/>
            <w:noWrap/>
            <w:vAlign w:val="center"/>
            <w:hideMark/>
          </w:tcPr>
          <w:p w14:paraId="1AB7BF97" w14:textId="77777777" w:rsidR="00F53AB2" w:rsidRPr="00E51207" w:rsidRDefault="00F53AB2" w:rsidP="003C3DAA">
            <w:pPr>
              <w:jc w:val="right"/>
              <w:rPr>
                <w:color w:val="000000"/>
                <w:sz w:val="16"/>
                <w:szCs w:val="16"/>
              </w:rPr>
            </w:pPr>
            <w:r w:rsidRPr="00E51207">
              <w:rPr>
                <w:color w:val="000000"/>
                <w:sz w:val="16"/>
                <w:szCs w:val="16"/>
              </w:rPr>
              <w:t>92,11%</w:t>
            </w:r>
          </w:p>
        </w:tc>
        <w:tc>
          <w:tcPr>
            <w:tcW w:w="274" w:type="pct"/>
            <w:shd w:val="clear" w:color="auto" w:fill="F2F2F2" w:themeFill="background1" w:themeFillShade="F2"/>
            <w:noWrap/>
            <w:vAlign w:val="center"/>
            <w:hideMark/>
          </w:tcPr>
          <w:p w14:paraId="163DC2DF" w14:textId="77777777" w:rsidR="00F53AB2" w:rsidRPr="00E51207" w:rsidRDefault="00F53AB2" w:rsidP="003C3DAA">
            <w:pPr>
              <w:jc w:val="center"/>
              <w:rPr>
                <w:color w:val="000000"/>
                <w:sz w:val="16"/>
                <w:szCs w:val="16"/>
              </w:rPr>
            </w:pPr>
            <w:r w:rsidRPr="00E51207">
              <w:rPr>
                <w:color w:val="000000"/>
                <w:sz w:val="16"/>
                <w:szCs w:val="16"/>
              </w:rPr>
              <w:t>33/38</w:t>
            </w:r>
          </w:p>
        </w:tc>
        <w:tc>
          <w:tcPr>
            <w:tcW w:w="274" w:type="pct"/>
            <w:shd w:val="clear" w:color="auto" w:fill="F2F2F2" w:themeFill="background1" w:themeFillShade="F2"/>
            <w:noWrap/>
            <w:vAlign w:val="center"/>
            <w:hideMark/>
          </w:tcPr>
          <w:p w14:paraId="5A69B5A2" w14:textId="77777777" w:rsidR="00F53AB2" w:rsidRPr="00E51207" w:rsidRDefault="00F53AB2" w:rsidP="003C3DAA">
            <w:pPr>
              <w:jc w:val="right"/>
              <w:rPr>
                <w:color w:val="000000"/>
                <w:sz w:val="16"/>
                <w:szCs w:val="16"/>
              </w:rPr>
            </w:pPr>
            <w:r w:rsidRPr="00E51207">
              <w:rPr>
                <w:color w:val="000000"/>
                <w:sz w:val="16"/>
                <w:szCs w:val="16"/>
              </w:rPr>
              <w:t>86,84%</w:t>
            </w:r>
          </w:p>
        </w:tc>
        <w:tc>
          <w:tcPr>
            <w:tcW w:w="274" w:type="pct"/>
            <w:shd w:val="clear" w:color="auto" w:fill="auto"/>
            <w:noWrap/>
            <w:vAlign w:val="center"/>
            <w:hideMark/>
          </w:tcPr>
          <w:p w14:paraId="2469F2C7" w14:textId="77777777" w:rsidR="00F53AB2" w:rsidRPr="00E51207" w:rsidRDefault="00F53AB2" w:rsidP="003C3DAA">
            <w:pPr>
              <w:jc w:val="center"/>
              <w:rPr>
                <w:color w:val="000000"/>
                <w:sz w:val="16"/>
                <w:szCs w:val="16"/>
              </w:rPr>
            </w:pPr>
            <w:r w:rsidRPr="00E51207">
              <w:rPr>
                <w:color w:val="000000"/>
                <w:sz w:val="16"/>
                <w:szCs w:val="16"/>
              </w:rPr>
              <w:t>34/38</w:t>
            </w:r>
          </w:p>
        </w:tc>
        <w:tc>
          <w:tcPr>
            <w:tcW w:w="274" w:type="pct"/>
            <w:shd w:val="clear" w:color="auto" w:fill="auto"/>
            <w:noWrap/>
            <w:vAlign w:val="center"/>
            <w:hideMark/>
          </w:tcPr>
          <w:p w14:paraId="0F93777D" w14:textId="77777777" w:rsidR="00F53AB2" w:rsidRPr="00E51207" w:rsidRDefault="00F53AB2" w:rsidP="003C3DAA">
            <w:pPr>
              <w:jc w:val="right"/>
              <w:rPr>
                <w:color w:val="000000"/>
                <w:sz w:val="16"/>
                <w:szCs w:val="16"/>
              </w:rPr>
            </w:pPr>
            <w:r w:rsidRPr="00E51207">
              <w:rPr>
                <w:color w:val="000000"/>
                <w:sz w:val="16"/>
                <w:szCs w:val="16"/>
              </w:rPr>
              <w:t>89,47%</w:t>
            </w:r>
          </w:p>
        </w:tc>
        <w:tc>
          <w:tcPr>
            <w:tcW w:w="274" w:type="pct"/>
            <w:shd w:val="clear" w:color="auto" w:fill="F2F2F2" w:themeFill="background1" w:themeFillShade="F2"/>
            <w:noWrap/>
            <w:vAlign w:val="center"/>
            <w:hideMark/>
          </w:tcPr>
          <w:p w14:paraId="275BBCEB" w14:textId="77777777" w:rsidR="00F53AB2" w:rsidRPr="00E51207" w:rsidRDefault="00F53AB2" w:rsidP="003C3DAA">
            <w:pPr>
              <w:jc w:val="center"/>
              <w:rPr>
                <w:color w:val="000000"/>
                <w:sz w:val="16"/>
                <w:szCs w:val="16"/>
              </w:rPr>
            </w:pPr>
            <w:r w:rsidRPr="00E51207">
              <w:rPr>
                <w:color w:val="000000"/>
                <w:sz w:val="16"/>
                <w:szCs w:val="16"/>
              </w:rPr>
              <w:t>33/38</w:t>
            </w:r>
          </w:p>
        </w:tc>
        <w:tc>
          <w:tcPr>
            <w:tcW w:w="274" w:type="pct"/>
            <w:shd w:val="clear" w:color="auto" w:fill="F2F2F2" w:themeFill="background1" w:themeFillShade="F2"/>
            <w:noWrap/>
            <w:vAlign w:val="center"/>
            <w:hideMark/>
          </w:tcPr>
          <w:p w14:paraId="056B5A4B" w14:textId="77777777" w:rsidR="00F53AB2" w:rsidRPr="00E51207" w:rsidRDefault="00F53AB2" w:rsidP="003C3DAA">
            <w:pPr>
              <w:jc w:val="right"/>
              <w:rPr>
                <w:color w:val="000000"/>
                <w:sz w:val="16"/>
                <w:szCs w:val="16"/>
              </w:rPr>
            </w:pPr>
            <w:r w:rsidRPr="00E51207">
              <w:rPr>
                <w:color w:val="000000"/>
                <w:sz w:val="16"/>
                <w:szCs w:val="16"/>
              </w:rPr>
              <w:t>86,84%</w:t>
            </w:r>
          </w:p>
        </w:tc>
      </w:tr>
      <w:tr w:rsidR="00F53AB2" w:rsidRPr="007B3AE5" w14:paraId="6ACA6D2E" w14:textId="77777777" w:rsidTr="002263D5">
        <w:trPr>
          <w:trHeight w:val="290"/>
        </w:trPr>
        <w:tc>
          <w:tcPr>
            <w:tcW w:w="199" w:type="pct"/>
            <w:shd w:val="clear" w:color="auto" w:fill="auto"/>
            <w:noWrap/>
            <w:vAlign w:val="center"/>
            <w:hideMark/>
          </w:tcPr>
          <w:p w14:paraId="2781788A" w14:textId="77777777" w:rsidR="00F53AB2" w:rsidRPr="00E51207" w:rsidRDefault="00F53AB2" w:rsidP="003C3DAA">
            <w:pPr>
              <w:jc w:val="right"/>
              <w:rPr>
                <w:color w:val="000000"/>
                <w:sz w:val="16"/>
                <w:szCs w:val="16"/>
              </w:rPr>
            </w:pPr>
            <w:r w:rsidRPr="00E51207">
              <w:rPr>
                <w:color w:val="000000"/>
                <w:sz w:val="16"/>
                <w:szCs w:val="16"/>
              </w:rPr>
              <w:t>58.</w:t>
            </w:r>
          </w:p>
        </w:tc>
        <w:tc>
          <w:tcPr>
            <w:tcW w:w="2060" w:type="pct"/>
            <w:shd w:val="clear" w:color="auto" w:fill="auto"/>
            <w:noWrap/>
            <w:vAlign w:val="center"/>
            <w:hideMark/>
          </w:tcPr>
          <w:p w14:paraId="2CFA05C0" w14:textId="77777777" w:rsidR="00F53AB2" w:rsidRPr="00E51207" w:rsidRDefault="00F53AB2" w:rsidP="003C3DAA">
            <w:pPr>
              <w:rPr>
                <w:color w:val="000000"/>
                <w:sz w:val="16"/>
                <w:szCs w:val="16"/>
              </w:rPr>
            </w:pPr>
            <w:r w:rsidRPr="00E51207">
              <w:rPr>
                <w:color w:val="000000"/>
                <w:sz w:val="16"/>
                <w:szCs w:val="16"/>
              </w:rPr>
              <w:t>Institut za intelektualno vlasništvo BiH</w:t>
            </w:r>
          </w:p>
        </w:tc>
        <w:tc>
          <w:tcPr>
            <w:tcW w:w="274" w:type="pct"/>
            <w:shd w:val="clear" w:color="auto" w:fill="F2F2F2" w:themeFill="background1" w:themeFillShade="F2"/>
            <w:noWrap/>
            <w:vAlign w:val="center"/>
            <w:hideMark/>
          </w:tcPr>
          <w:p w14:paraId="0EBB6966" w14:textId="77777777" w:rsidR="00F53AB2" w:rsidRPr="00E51207" w:rsidRDefault="00F53AB2" w:rsidP="003C3DAA">
            <w:pPr>
              <w:jc w:val="center"/>
              <w:rPr>
                <w:color w:val="000000"/>
                <w:sz w:val="16"/>
                <w:szCs w:val="16"/>
              </w:rPr>
            </w:pPr>
            <w:r w:rsidRPr="00E51207">
              <w:rPr>
                <w:color w:val="000000"/>
                <w:sz w:val="16"/>
                <w:szCs w:val="16"/>
              </w:rPr>
              <w:t>26/38</w:t>
            </w:r>
          </w:p>
        </w:tc>
        <w:tc>
          <w:tcPr>
            <w:tcW w:w="274" w:type="pct"/>
            <w:shd w:val="clear" w:color="auto" w:fill="F2F2F2" w:themeFill="background1" w:themeFillShade="F2"/>
            <w:noWrap/>
            <w:vAlign w:val="center"/>
            <w:hideMark/>
          </w:tcPr>
          <w:p w14:paraId="46C72EF1" w14:textId="77777777" w:rsidR="00F53AB2" w:rsidRPr="00E51207" w:rsidRDefault="00F53AB2" w:rsidP="003C3DAA">
            <w:pPr>
              <w:jc w:val="right"/>
              <w:rPr>
                <w:color w:val="000000"/>
                <w:sz w:val="16"/>
                <w:szCs w:val="16"/>
              </w:rPr>
            </w:pPr>
            <w:r w:rsidRPr="00E51207">
              <w:rPr>
                <w:color w:val="000000"/>
                <w:sz w:val="16"/>
                <w:szCs w:val="16"/>
              </w:rPr>
              <w:t>68,42%</w:t>
            </w:r>
          </w:p>
        </w:tc>
        <w:tc>
          <w:tcPr>
            <w:tcW w:w="274" w:type="pct"/>
            <w:shd w:val="clear" w:color="auto" w:fill="auto"/>
            <w:noWrap/>
            <w:vAlign w:val="center"/>
            <w:hideMark/>
          </w:tcPr>
          <w:p w14:paraId="6260B8ED" w14:textId="77777777" w:rsidR="00F53AB2" w:rsidRPr="00E51207" w:rsidRDefault="00F53AB2" w:rsidP="003C3DAA">
            <w:pPr>
              <w:jc w:val="center"/>
              <w:rPr>
                <w:color w:val="000000"/>
                <w:sz w:val="16"/>
                <w:szCs w:val="16"/>
              </w:rPr>
            </w:pPr>
            <w:r w:rsidRPr="00E51207">
              <w:rPr>
                <w:color w:val="000000"/>
                <w:sz w:val="16"/>
                <w:szCs w:val="16"/>
              </w:rPr>
              <w:t>26/38</w:t>
            </w:r>
          </w:p>
        </w:tc>
        <w:tc>
          <w:tcPr>
            <w:tcW w:w="274" w:type="pct"/>
            <w:shd w:val="clear" w:color="auto" w:fill="auto"/>
            <w:noWrap/>
            <w:vAlign w:val="center"/>
            <w:hideMark/>
          </w:tcPr>
          <w:p w14:paraId="33A35316" w14:textId="77777777" w:rsidR="00F53AB2" w:rsidRPr="00E51207" w:rsidRDefault="00F53AB2" w:rsidP="003C3DAA">
            <w:pPr>
              <w:jc w:val="right"/>
              <w:rPr>
                <w:color w:val="000000"/>
                <w:sz w:val="16"/>
                <w:szCs w:val="16"/>
              </w:rPr>
            </w:pPr>
            <w:r w:rsidRPr="00E51207">
              <w:rPr>
                <w:color w:val="000000"/>
                <w:sz w:val="16"/>
                <w:szCs w:val="16"/>
              </w:rPr>
              <w:t>68,42%</w:t>
            </w:r>
          </w:p>
        </w:tc>
        <w:tc>
          <w:tcPr>
            <w:tcW w:w="274" w:type="pct"/>
            <w:shd w:val="clear" w:color="auto" w:fill="F2F2F2" w:themeFill="background1" w:themeFillShade="F2"/>
            <w:noWrap/>
            <w:vAlign w:val="center"/>
            <w:hideMark/>
          </w:tcPr>
          <w:p w14:paraId="1BB7378E" w14:textId="77777777" w:rsidR="00F53AB2" w:rsidRPr="00E51207" w:rsidRDefault="00F53AB2" w:rsidP="003C3DAA">
            <w:pPr>
              <w:jc w:val="center"/>
              <w:rPr>
                <w:color w:val="000000"/>
                <w:sz w:val="16"/>
                <w:szCs w:val="16"/>
              </w:rPr>
            </w:pPr>
            <w:r w:rsidRPr="00E51207">
              <w:rPr>
                <w:color w:val="000000"/>
                <w:sz w:val="16"/>
                <w:szCs w:val="16"/>
              </w:rPr>
              <w:t>26/38</w:t>
            </w:r>
          </w:p>
        </w:tc>
        <w:tc>
          <w:tcPr>
            <w:tcW w:w="274" w:type="pct"/>
            <w:shd w:val="clear" w:color="auto" w:fill="F2F2F2" w:themeFill="background1" w:themeFillShade="F2"/>
            <w:noWrap/>
            <w:vAlign w:val="center"/>
            <w:hideMark/>
          </w:tcPr>
          <w:p w14:paraId="5EDAFDC7" w14:textId="77777777" w:rsidR="00F53AB2" w:rsidRPr="00E51207" w:rsidRDefault="00F53AB2" w:rsidP="003C3DAA">
            <w:pPr>
              <w:jc w:val="right"/>
              <w:rPr>
                <w:color w:val="000000"/>
                <w:sz w:val="16"/>
                <w:szCs w:val="16"/>
              </w:rPr>
            </w:pPr>
            <w:r w:rsidRPr="00E51207">
              <w:rPr>
                <w:color w:val="000000"/>
                <w:sz w:val="16"/>
                <w:szCs w:val="16"/>
              </w:rPr>
              <w:t>68,42%</w:t>
            </w:r>
          </w:p>
        </w:tc>
        <w:tc>
          <w:tcPr>
            <w:tcW w:w="274" w:type="pct"/>
            <w:shd w:val="clear" w:color="auto" w:fill="auto"/>
            <w:noWrap/>
            <w:vAlign w:val="center"/>
            <w:hideMark/>
          </w:tcPr>
          <w:p w14:paraId="1246A82B" w14:textId="77777777" w:rsidR="00F53AB2" w:rsidRPr="00E51207" w:rsidRDefault="00F53AB2" w:rsidP="003C3DAA">
            <w:pPr>
              <w:jc w:val="center"/>
              <w:rPr>
                <w:color w:val="000000"/>
                <w:sz w:val="16"/>
                <w:szCs w:val="16"/>
              </w:rPr>
            </w:pPr>
            <w:r w:rsidRPr="00E51207">
              <w:rPr>
                <w:color w:val="000000"/>
                <w:sz w:val="16"/>
                <w:szCs w:val="16"/>
              </w:rPr>
              <w:t>32/38</w:t>
            </w:r>
          </w:p>
        </w:tc>
        <w:tc>
          <w:tcPr>
            <w:tcW w:w="274" w:type="pct"/>
            <w:shd w:val="clear" w:color="auto" w:fill="auto"/>
            <w:noWrap/>
            <w:vAlign w:val="center"/>
            <w:hideMark/>
          </w:tcPr>
          <w:p w14:paraId="3BAE2A2D" w14:textId="77777777" w:rsidR="00F53AB2" w:rsidRPr="00E51207" w:rsidRDefault="00F53AB2" w:rsidP="003C3DAA">
            <w:pPr>
              <w:jc w:val="right"/>
              <w:rPr>
                <w:color w:val="000000"/>
                <w:sz w:val="16"/>
                <w:szCs w:val="16"/>
              </w:rPr>
            </w:pPr>
            <w:r w:rsidRPr="00E51207">
              <w:rPr>
                <w:color w:val="000000"/>
                <w:sz w:val="16"/>
                <w:szCs w:val="16"/>
              </w:rPr>
              <w:t>84,21%</w:t>
            </w:r>
          </w:p>
        </w:tc>
        <w:tc>
          <w:tcPr>
            <w:tcW w:w="274" w:type="pct"/>
            <w:shd w:val="clear" w:color="auto" w:fill="F2F2F2" w:themeFill="background1" w:themeFillShade="F2"/>
            <w:noWrap/>
            <w:vAlign w:val="center"/>
            <w:hideMark/>
          </w:tcPr>
          <w:p w14:paraId="2394CECD" w14:textId="77777777" w:rsidR="00F53AB2" w:rsidRPr="00E51207" w:rsidRDefault="00F53AB2" w:rsidP="003C3DAA">
            <w:pPr>
              <w:jc w:val="center"/>
              <w:rPr>
                <w:color w:val="000000"/>
                <w:sz w:val="16"/>
                <w:szCs w:val="16"/>
              </w:rPr>
            </w:pPr>
            <w:r w:rsidRPr="00E51207">
              <w:rPr>
                <w:color w:val="000000"/>
                <w:sz w:val="16"/>
                <w:szCs w:val="16"/>
              </w:rPr>
              <w:t>33/38</w:t>
            </w:r>
          </w:p>
        </w:tc>
        <w:tc>
          <w:tcPr>
            <w:tcW w:w="274" w:type="pct"/>
            <w:shd w:val="clear" w:color="auto" w:fill="F2F2F2" w:themeFill="background1" w:themeFillShade="F2"/>
            <w:noWrap/>
            <w:vAlign w:val="center"/>
            <w:hideMark/>
          </w:tcPr>
          <w:p w14:paraId="1ECE48C5" w14:textId="77777777" w:rsidR="00F53AB2" w:rsidRPr="00E51207" w:rsidRDefault="00F53AB2" w:rsidP="003C3DAA">
            <w:pPr>
              <w:jc w:val="right"/>
              <w:rPr>
                <w:color w:val="000000"/>
                <w:sz w:val="16"/>
                <w:szCs w:val="16"/>
              </w:rPr>
            </w:pPr>
            <w:r w:rsidRPr="00E51207">
              <w:rPr>
                <w:color w:val="000000"/>
                <w:sz w:val="16"/>
                <w:szCs w:val="16"/>
              </w:rPr>
              <w:t>86,84%</w:t>
            </w:r>
          </w:p>
        </w:tc>
      </w:tr>
      <w:tr w:rsidR="00F53AB2" w:rsidRPr="007B3AE5" w14:paraId="10BC52DE" w14:textId="77777777" w:rsidTr="002263D5">
        <w:trPr>
          <w:trHeight w:val="290"/>
        </w:trPr>
        <w:tc>
          <w:tcPr>
            <w:tcW w:w="199" w:type="pct"/>
            <w:shd w:val="clear" w:color="auto" w:fill="auto"/>
            <w:noWrap/>
            <w:vAlign w:val="center"/>
            <w:hideMark/>
          </w:tcPr>
          <w:p w14:paraId="72CB5FB7" w14:textId="77777777" w:rsidR="00F53AB2" w:rsidRPr="00E51207" w:rsidRDefault="00F53AB2" w:rsidP="003C3DAA">
            <w:pPr>
              <w:jc w:val="right"/>
              <w:rPr>
                <w:color w:val="000000"/>
                <w:sz w:val="16"/>
                <w:szCs w:val="16"/>
              </w:rPr>
            </w:pPr>
            <w:r w:rsidRPr="00E51207">
              <w:rPr>
                <w:color w:val="000000"/>
                <w:sz w:val="16"/>
                <w:szCs w:val="16"/>
              </w:rPr>
              <w:t>59.</w:t>
            </w:r>
          </w:p>
        </w:tc>
        <w:tc>
          <w:tcPr>
            <w:tcW w:w="2060" w:type="pct"/>
            <w:shd w:val="clear" w:color="auto" w:fill="auto"/>
            <w:noWrap/>
            <w:vAlign w:val="center"/>
            <w:hideMark/>
          </w:tcPr>
          <w:p w14:paraId="7F23DFCB" w14:textId="77777777" w:rsidR="00F53AB2" w:rsidRPr="00E51207" w:rsidRDefault="00F53AB2" w:rsidP="003C3DAA">
            <w:pPr>
              <w:rPr>
                <w:color w:val="000000"/>
                <w:sz w:val="16"/>
                <w:szCs w:val="16"/>
              </w:rPr>
            </w:pPr>
            <w:r w:rsidRPr="00E51207">
              <w:rPr>
                <w:color w:val="000000"/>
                <w:sz w:val="16"/>
                <w:szCs w:val="16"/>
              </w:rPr>
              <w:t>Ministarstvo komunikacija i prometa BiH</w:t>
            </w:r>
          </w:p>
        </w:tc>
        <w:tc>
          <w:tcPr>
            <w:tcW w:w="274" w:type="pct"/>
            <w:shd w:val="clear" w:color="auto" w:fill="F2F2F2" w:themeFill="background1" w:themeFillShade="F2"/>
            <w:noWrap/>
            <w:vAlign w:val="center"/>
            <w:hideMark/>
          </w:tcPr>
          <w:p w14:paraId="1E4D79BE" w14:textId="77777777" w:rsidR="00F53AB2" w:rsidRPr="00E51207" w:rsidRDefault="00F53AB2" w:rsidP="003C3DAA">
            <w:pPr>
              <w:jc w:val="center"/>
              <w:rPr>
                <w:color w:val="000000"/>
                <w:sz w:val="16"/>
                <w:szCs w:val="16"/>
              </w:rPr>
            </w:pPr>
            <w:r w:rsidRPr="00E51207">
              <w:rPr>
                <w:color w:val="000000"/>
                <w:sz w:val="16"/>
                <w:szCs w:val="16"/>
              </w:rPr>
              <w:t>16/38</w:t>
            </w:r>
          </w:p>
        </w:tc>
        <w:tc>
          <w:tcPr>
            <w:tcW w:w="274" w:type="pct"/>
            <w:shd w:val="clear" w:color="auto" w:fill="F2F2F2" w:themeFill="background1" w:themeFillShade="F2"/>
            <w:noWrap/>
            <w:vAlign w:val="center"/>
            <w:hideMark/>
          </w:tcPr>
          <w:p w14:paraId="1D441F67" w14:textId="77777777" w:rsidR="00F53AB2" w:rsidRPr="00E51207" w:rsidRDefault="00F53AB2" w:rsidP="003C3DAA">
            <w:pPr>
              <w:jc w:val="right"/>
              <w:rPr>
                <w:color w:val="000000"/>
                <w:sz w:val="16"/>
                <w:szCs w:val="16"/>
              </w:rPr>
            </w:pPr>
            <w:r w:rsidRPr="00E51207">
              <w:rPr>
                <w:color w:val="000000"/>
                <w:sz w:val="16"/>
                <w:szCs w:val="16"/>
              </w:rPr>
              <w:t>42,11%</w:t>
            </w:r>
          </w:p>
        </w:tc>
        <w:tc>
          <w:tcPr>
            <w:tcW w:w="274" w:type="pct"/>
            <w:shd w:val="clear" w:color="auto" w:fill="auto"/>
            <w:noWrap/>
            <w:vAlign w:val="center"/>
            <w:hideMark/>
          </w:tcPr>
          <w:p w14:paraId="597580CB" w14:textId="77777777" w:rsidR="00F53AB2" w:rsidRPr="00E51207" w:rsidRDefault="00F53AB2" w:rsidP="003C3DAA">
            <w:pPr>
              <w:jc w:val="center"/>
              <w:rPr>
                <w:color w:val="000000"/>
                <w:sz w:val="16"/>
                <w:szCs w:val="16"/>
              </w:rPr>
            </w:pPr>
            <w:r w:rsidRPr="00E51207">
              <w:rPr>
                <w:color w:val="000000"/>
                <w:sz w:val="16"/>
                <w:szCs w:val="16"/>
              </w:rPr>
              <w:t>17/38</w:t>
            </w:r>
          </w:p>
        </w:tc>
        <w:tc>
          <w:tcPr>
            <w:tcW w:w="274" w:type="pct"/>
            <w:shd w:val="clear" w:color="auto" w:fill="auto"/>
            <w:noWrap/>
            <w:vAlign w:val="center"/>
            <w:hideMark/>
          </w:tcPr>
          <w:p w14:paraId="0BDAC570" w14:textId="77777777" w:rsidR="00F53AB2" w:rsidRPr="00E51207" w:rsidRDefault="00F53AB2" w:rsidP="003C3DAA">
            <w:pPr>
              <w:jc w:val="right"/>
              <w:rPr>
                <w:color w:val="000000"/>
                <w:sz w:val="16"/>
                <w:szCs w:val="16"/>
              </w:rPr>
            </w:pPr>
            <w:r w:rsidRPr="00E51207">
              <w:rPr>
                <w:color w:val="000000"/>
                <w:sz w:val="16"/>
                <w:szCs w:val="16"/>
              </w:rPr>
              <w:t>44,74%</w:t>
            </w:r>
          </w:p>
        </w:tc>
        <w:tc>
          <w:tcPr>
            <w:tcW w:w="274" w:type="pct"/>
            <w:shd w:val="clear" w:color="auto" w:fill="F2F2F2" w:themeFill="background1" w:themeFillShade="F2"/>
            <w:noWrap/>
            <w:vAlign w:val="center"/>
            <w:hideMark/>
          </w:tcPr>
          <w:p w14:paraId="62D51D6C" w14:textId="77777777" w:rsidR="00F53AB2" w:rsidRPr="00E51207" w:rsidRDefault="00F53AB2" w:rsidP="003C3DAA">
            <w:pPr>
              <w:jc w:val="center"/>
              <w:rPr>
                <w:color w:val="000000"/>
                <w:sz w:val="16"/>
                <w:szCs w:val="16"/>
              </w:rPr>
            </w:pPr>
            <w:r w:rsidRPr="00E51207">
              <w:rPr>
                <w:color w:val="000000"/>
                <w:sz w:val="16"/>
                <w:szCs w:val="16"/>
              </w:rPr>
              <w:t>20/38</w:t>
            </w:r>
          </w:p>
        </w:tc>
        <w:tc>
          <w:tcPr>
            <w:tcW w:w="274" w:type="pct"/>
            <w:shd w:val="clear" w:color="auto" w:fill="F2F2F2" w:themeFill="background1" w:themeFillShade="F2"/>
            <w:noWrap/>
            <w:vAlign w:val="center"/>
            <w:hideMark/>
          </w:tcPr>
          <w:p w14:paraId="24D699DE" w14:textId="77777777" w:rsidR="00F53AB2" w:rsidRPr="00E51207" w:rsidRDefault="00F53AB2" w:rsidP="003C3DAA">
            <w:pPr>
              <w:jc w:val="right"/>
              <w:rPr>
                <w:color w:val="000000"/>
                <w:sz w:val="16"/>
                <w:szCs w:val="16"/>
              </w:rPr>
            </w:pPr>
            <w:r w:rsidRPr="00E51207">
              <w:rPr>
                <w:color w:val="000000"/>
                <w:sz w:val="16"/>
                <w:szCs w:val="16"/>
              </w:rPr>
              <w:t>52,63%</w:t>
            </w:r>
          </w:p>
        </w:tc>
        <w:tc>
          <w:tcPr>
            <w:tcW w:w="274" w:type="pct"/>
            <w:shd w:val="clear" w:color="auto" w:fill="auto"/>
            <w:noWrap/>
            <w:vAlign w:val="center"/>
            <w:hideMark/>
          </w:tcPr>
          <w:p w14:paraId="57D9A720"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53ED496B"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5126830F" w14:textId="77777777" w:rsidR="00F53AB2" w:rsidRPr="00E51207" w:rsidRDefault="00F53AB2" w:rsidP="003C3DAA">
            <w:pPr>
              <w:jc w:val="center"/>
              <w:rPr>
                <w:color w:val="000000"/>
                <w:sz w:val="16"/>
                <w:szCs w:val="16"/>
              </w:rPr>
            </w:pPr>
            <w:r w:rsidRPr="00E51207">
              <w:rPr>
                <w:color w:val="000000"/>
                <w:sz w:val="16"/>
                <w:szCs w:val="16"/>
              </w:rPr>
              <w:t>33/38</w:t>
            </w:r>
          </w:p>
        </w:tc>
        <w:tc>
          <w:tcPr>
            <w:tcW w:w="274" w:type="pct"/>
            <w:shd w:val="clear" w:color="auto" w:fill="F2F2F2" w:themeFill="background1" w:themeFillShade="F2"/>
            <w:noWrap/>
            <w:vAlign w:val="center"/>
            <w:hideMark/>
          </w:tcPr>
          <w:p w14:paraId="4D7EB396" w14:textId="77777777" w:rsidR="00F53AB2" w:rsidRPr="00E51207" w:rsidRDefault="00F53AB2" w:rsidP="003C3DAA">
            <w:pPr>
              <w:jc w:val="right"/>
              <w:rPr>
                <w:color w:val="000000"/>
                <w:sz w:val="16"/>
                <w:szCs w:val="16"/>
              </w:rPr>
            </w:pPr>
            <w:r w:rsidRPr="00E51207">
              <w:rPr>
                <w:color w:val="000000"/>
                <w:sz w:val="16"/>
                <w:szCs w:val="16"/>
              </w:rPr>
              <w:t>86,84%</w:t>
            </w:r>
          </w:p>
        </w:tc>
      </w:tr>
      <w:tr w:rsidR="00F53AB2" w:rsidRPr="007B3AE5" w14:paraId="4E191B53" w14:textId="77777777" w:rsidTr="002263D5">
        <w:trPr>
          <w:trHeight w:val="290"/>
        </w:trPr>
        <w:tc>
          <w:tcPr>
            <w:tcW w:w="199" w:type="pct"/>
            <w:shd w:val="clear" w:color="auto" w:fill="auto"/>
            <w:noWrap/>
            <w:vAlign w:val="center"/>
            <w:hideMark/>
          </w:tcPr>
          <w:p w14:paraId="23C3CC2B" w14:textId="77777777" w:rsidR="00F53AB2" w:rsidRPr="00E51207" w:rsidRDefault="00F53AB2" w:rsidP="003C3DAA">
            <w:pPr>
              <w:jc w:val="right"/>
              <w:rPr>
                <w:color w:val="000000"/>
                <w:sz w:val="16"/>
                <w:szCs w:val="16"/>
              </w:rPr>
            </w:pPr>
            <w:r w:rsidRPr="00E51207">
              <w:rPr>
                <w:color w:val="000000"/>
                <w:sz w:val="16"/>
                <w:szCs w:val="16"/>
              </w:rPr>
              <w:t>60.</w:t>
            </w:r>
          </w:p>
        </w:tc>
        <w:tc>
          <w:tcPr>
            <w:tcW w:w="2060" w:type="pct"/>
            <w:shd w:val="clear" w:color="auto" w:fill="auto"/>
            <w:noWrap/>
            <w:vAlign w:val="center"/>
            <w:hideMark/>
          </w:tcPr>
          <w:p w14:paraId="297C45F8" w14:textId="77777777" w:rsidR="00F53AB2" w:rsidRPr="00E51207" w:rsidRDefault="00F53AB2" w:rsidP="003C3DAA">
            <w:pPr>
              <w:rPr>
                <w:color w:val="000000"/>
                <w:sz w:val="16"/>
                <w:szCs w:val="16"/>
              </w:rPr>
            </w:pPr>
            <w:r w:rsidRPr="00E51207">
              <w:rPr>
                <w:color w:val="000000"/>
                <w:sz w:val="16"/>
                <w:szCs w:val="16"/>
              </w:rPr>
              <w:t>Agencija za predškolsko, osnovno i srednje obrazovanje</w:t>
            </w:r>
          </w:p>
        </w:tc>
        <w:tc>
          <w:tcPr>
            <w:tcW w:w="274" w:type="pct"/>
            <w:shd w:val="clear" w:color="auto" w:fill="F2F2F2" w:themeFill="background1" w:themeFillShade="F2"/>
            <w:noWrap/>
            <w:vAlign w:val="center"/>
            <w:hideMark/>
          </w:tcPr>
          <w:p w14:paraId="1F95055A" w14:textId="77777777" w:rsidR="00F53AB2" w:rsidRPr="00E51207" w:rsidRDefault="00F53AB2" w:rsidP="003C3DAA">
            <w:pPr>
              <w:jc w:val="center"/>
              <w:rPr>
                <w:color w:val="000000"/>
                <w:sz w:val="16"/>
                <w:szCs w:val="16"/>
              </w:rPr>
            </w:pPr>
            <w:r w:rsidRPr="00E51207">
              <w:rPr>
                <w:color w:val="000000"/>
                <w:sz w:val="16"/>
                <w:szCs w:val="16"/>
              </w:rPr>
              <w:t>27/38</w:t>
            </w:r>
          </w:p>
        </w:tc>
        <w:tc>
          <w:tcPr>
            <w:tcW w:w="274" w:type="pct"/>
            <w:shd w:val="clear" w:color="auto" w:fill="F2F2F2" w:themeFill="background1" w:themeFillShade="F2"/>
            <w:noWrap/>
            <w:vAlign w:val="center"/>
            <w:hideMark/>
          </w:tcPr>
          <w:p w14:paraId="32FB0166" w14:textId="77777777" w:rsidR="00F53AB2" w:rsidRPr="00E51207" w:rsidRDefault="00F53AB2" w:rsidP="003C3DAA">
            <w:pPr>
              <w:jc w:val="right"/>
              <w:rPr>
                <w:color w:val="000000"/>
                <w:sz w:val="16"/>
                <w:szCs w:val="16"/>
              </w:rPr>
            </w:pPr>
            <w:r w:rsidRPr="00E51207">
              <w:rPr>
                <w:color w:val="000000"/>
                <w:sz w:val="16"/>
                <w:szCs w:val="16"/>
              </w:rPr>
              <w:t>71,05%</w:t>
            </w:r>
          </w:p>
        </w:tc>
        <w:tc>
          <w:tcPr>
            <w:tcW w:w="274" w:type="pct"/>
            <w:shd w:val="clear" w:color="auto" w:fill="auto"/>
            <w:noWrap/>
            <w:vAlign w:val="center"/>
            <w:hideMark/>
          </w:tcPr>
          <w:p w14:paraId="62716644" w14:textId="77777777" w:rsidR="00F53AB2" w:rsidRPr="00E51207" w:rsidRDefault="00F53AB2" w:rsidP="003C3DAA">
            <w:pPr>
              <w:jc w:val="center"/>
              <w:rPr>
                <w:color w:val="000000"/>
                <w:sz w:val="16"/>
                <w:szCs w:val="16"/>
              </w:rPr>
            </w:pPr>
            <w:r w:rsidRPr="00E51207">
              <w:rPr>
                <w:color w:val="000000"/>
                <w:sz w:val="16"/>
                <w:szCs w:val="16"/>
              </w:rPr>
              <w:t>30/38</w:t>
            </w:r>
          </w:p>
        </w:tc>
        <w:tc>
          <w:tcPr>
            <w:tcW w:w="274" w:type="pct"/>
            <w:shd w:val="clear" w:color="auto" w:fill="auto"/>
            <w:noWrap/>
            <w:vAlign w:val="center"/>
            <w:hideMark/>
          </w:tcPr>
          <w:p w14:paraId="336D3218" w14:textId="77777777" w:rsidR="00F53AB2" w:rsidRPr="00E51207" w:rsidRDefault="00F53AB2" w:rsidP="003C3DAA">
            <w:pPr>
              <w:jc w:val="right"/>
              <w:rPr>
                <w:color w:val="000000"/>
                <w:sz w:val="16"/>
                <w:szCs w:val="16"/>
              </w:rPr>
            </w:pPr>
            <w:r w:rsidRPr="00E51207">
              <w:rPr>
                <w:color w:val="000000"/>
                <w:sz w:val="16"/>
                <w:szCs w:val="16"/>
              </w:rPr>
              <w:t>78,95%</w:t>
            </w:r>
          </w:p>
        </w:tc>
        <w:tc>
          <w:tcPr>
            <w:tcW w:w="274" w:type="pct"/>
            <w:shd w:val="clear" w:color="auto" w:fill="F2F2F2" w:themeFill="background1" w:themeFillShade="F2"/>
            <w:noWrap/>
            <w:vAlign w:val="center"/>
            <w:hideMark/>
          </w:tcPr>
          <w:p w14:paraId="7F279210" w14:textId="77777777" w:rsidR="00F53AB2" w:rsidRPr="00E51207" w:rsidRDefault="00F53AB2" w:rsidP="003C3DAA">
            <w:pPr>
              <w:jc w:val="center"/>
              <w:rPr>
                <w:color w:val="000000"/>
                <w:sz w:val="16"/>
                <w:szCs w:val="16"/>
              </w:rPr>
            </w:pPr>
            <w:r w:rsidRPr="00E51207">
              <w:rPr>
                <w:color w:val="000000"/>
                <w:sz w:val="16"/>
                <w:szCs w:val="16"/>
              </w:rPr>
              <w:t>30/38</w:t>
            </w:r>
          </w:p>
        </w:tc>
        <w:tc>
          <w:tcPr>
            <w:tcW w:w="274" w:type="pct"/>
            <w:shd w:val="clear" w:color="auto" w:fill="F2F2F2" w:themeFill="background1" w:themeFillShade="F2"/>
            <w:noWrap/>
            <w:vAlign w:val="center"/>
            <w:hideMark/>
          </w:tcPr>
          <w:p w14:paraId="2C1B7DBA" w14:textId="77777777" w:rsidR="00F53AB2" w:rsidRPr="00E51207" w:rsidRDefault="00F53AB2" w:rsidP="003C3DAA">
            <w:pPr>
              <w:jc w:val="right"/>
              <w:rPr>
                <w:color w:val="000000"/>
                <w:sz w:val="16"/>
                <w:szCs w:val="16"/>
              </w:rPr>
            </w:pPr>
            <w:r w:rsidRPr="00E51207">
              <w:rPr>
                <w:color w:val="000000"/>
                <w:sz w:val="16"/>
                <w:szCs w:val="16"/>
              </w:rPr>
              <w:t>78,95%</w:t>
            </w:r>
          </w:p>
        </w:tc>
        <w:tc>
          <w:tcPr>
            <w:tcW w:w="274" w:type="pct"/>
            <w:shd w:val="clear" w:color="auto" w:fill="auto"/>
            <w:noWrap/>
            <w:vAlign w:val="center"/>
            <w:hideMark/>
          </w:tcPr>
          <w:p w14:paraId="35B3239C" w14:textId="77777777" w:rsidR="00F53AB2" w:rsidRPr="00E51207" w:rsidRDefault="00F53AB2" w:rsidP="003C3DAA">
            <w:pPr>
              <w:jc w:val="center"/>
              <w:rPr>
                <w:color w:val="000000"/>
                <w:sz w:val="16"/>
                <w:szCs w:val="16"/>
              </w:rPr>
            </w:pPr>
            <w:r w:rsidRPr="00E51207">
              <w:rPr>
                <w:color w:val="000000"/>
                <w:sz w:val="16"/>
                <w:szCs w:val="16"/>
              </w:rPr>
              <w:t>34/38</w:t>
            </w:r>
          </w:p>
        </w:tc>
        <w:tc>
          <w:tcPr>
            <w:tcW w:w="274" w:type="pct"/>
            <w:shd w:val="clear" w:color="auto" w:fill="auto"/>
            <w:noWrap/>
            <w:vAlign w:val="center"/>
            <w:hideMark/>
          </w:tcPr>
          <w:p w14:paraId="3469E5C0" w14:textId="77777777" w:rsidR="00F53AB2" w:rsidRPr="00E51207" w:rsidRDefault="00F53AB2" w:rsidP="003C3DAA">
            <w:pPr>
              <w:jc w:val="right"/>
              <w:rPr>
                <w:color w:val="000000"/>
                <w:sz w:val="16"/>
                <w:szCs w:val="16"/>
              </w:rPr>
            </w:pPr>
            <w:r w:rsidRPr="00E51207">
              <w:rPr>
                <w:color w:val="000000"/>
                <w:sz w:val="16"/>
                <w:szCs w:val="16"/>
              </w:rPr>
              <w:t>89,47%</w:t>
            </w:r>
          </w:p>
        </w:tc>
        <w:tc>
          <w:tcPr>
            <w:tcW w:w="274" w:type="pct"/>
            <w:shd w:val="clear" w:color="auto" w:fill="F2F2F2" w:themeFill="background1" w:themeFillShade="F2"/>
            <w:noWrap/>
            <w:vAlign w:val="center"/>
            <w:hideMark/>
          </w:tcPr>
          <w:p w14:paraId="5D9FB490" w14:textId="77777777" w:rsidR="00F53AB2" w:rsidRPr="00E51207" w:rsidRDefault="00F53AB2" w:rsidP="003C3DAA">
            <w:pPr>
              <w:jc w:val="center"/>
              <w:rPr>
                <w:color w:val="000000"/>
                <w:sz w:val="16"/>
                <w:szCs w:val="16"/>
              </w:rPr>
            </w:pPr>
            <w:r w:rsidRPr="00E51207">
              <w:rPr>
                <w:color w:val="000000"/>
                <w:sz w:val="16"/>
                <w:szCs w:val="16"/>
              </w:rPr>
              <w:t>34/38</w:t>
            </w:r>
          </w:p>
        </w:tc>
        <w:tc>
          <w:tcPr>
            <w:tcW w:w="274" w:type="pct"/>
            <w:shd w:val="clear" w:color="auto" w:fill="F2F2F2" w:themeFill="background1" w:themeFillShade="F2"/>
            <w:noWrap/>
            <w:vAlign w:val="center"/>
            <w:hideMark/>
          </w:tcPr>
          <w:p w14:paraId="52DEF2E5" w14:textId="77777777" w:rsidR="00F53AB2" w:rsidRPr="00E51207" w:rsidRDefault="00F53AB2" w:rsidP="003C3DAA">
            <w:pPr>
              <w:jc w:val="right"/>
              <w:rPr>
                <w:color w:val="000000"/>
                <w:sz w:val="16"/>
                <w:szCs w:val="16"/>
              </w:rPr>
            </w:pPr>
            <w:r w:rsidRPr="00E51207">
              <w:rPr>
                <w:color w:val="000000"/>
                <w:sz w:val="16"/>
                <w:szCs w:val="16"/>
              </w:rPr>
              <w:t>89,47%</w:t>
            </w:r>
          </w:p>
        </w:tc>
      </w:tr>
      <w:tr w:rsidR="00F53AB2" w:rsidRPr="007B3AE5" w14:paraId="2CDCC6F5" w14:textId="77777777" w:rsidTr="002263D5">
        <w:trPr>
          <w:trHeight w:val="290"/>
        </w:trPr>
        <w:tc>
          <w:tcPr>
            <w:tcW w:w="199" w:type="pct"/>
            <w:shd w:val="clear" w:color="auto" w:fill="auto"/>
            <w:noWrap/>
            <w:vAlign w:val="center"/>
            <w:hideMark/>
          </w:tcPr>
          <w:p w14:paraId="343A1AB7" w14:textId="77777777" w:rsidR="00F53AB2" w:rsidRPr="00E51207" w:rsidRDefault="00F53AB2" w:rsidP="003C3DAA">
            <w:pPr>
              <w:jc w:val="right"/>
              <w:rPr>
                <w:color w:val="000000"/>
                <w:sz w:val="16"/>
                <w:szCs w:val="16"/>
              </w:rPr>
            </w:pPr>
            <w:r w:rsidRPr="00E51207">
              <w:rPr>
                <w:color w:val="000000"/>
                <w:sz w:val="16"/>
                <w:szCs w:val="16"/>
              </w:rPr>
              <w:t>61.</w:t>
            </w:r>
          </w:p>
        </w:tc>
        <w:tc>
          <w:tcPr>
            <w:tcW w:w="2060" w:type="pct"/>
            <w:shd w:val="clear" w:color="auto" w:fill="auto"/>
            <w:noWrap/>
            <w:vAlign w:val="center"/>
            <w:hideMark/>
          </w:tcPr>
          <w:p w14:paraId="341FB6F9" w14:textId="77777777" w:rsidR="00F53AB2" w:rsidRPr="00E51207" w:rsidRDefault="00F53AB2" w:rsidP="003C3DAA">
            <w:pPr>
              <w:rPr>
                <w:color w:val="000000"/>
                <w:sz w:val="16"/>
                <w:szCs w:val="16"/>
              </w:rPr>
            </w:pPr>
            <w:r w:rsidRPr="00E51207">
              <w:rPr>
                <w:color w:val="000000"/>
                <w:sz w:val="16"/>
                <w:szCs w:val="16"/>
              </w:rPr>
              <w:t>Agencija za rad i zapošljavanje BiH</w:t>
            </w:r>
          </w:p>
        </w:tc>
        <w:tc>
          <w:tcPr>
            <w:tcW w:w="274" w:type="pct"/>
            <w:shd w:val="clear" w:color="auto" w:fill="F2F2F2" w:themeFill="background1" w:themeFillShade="F2"/>
            <w:noWrap/>
            <w:vAlign w:val="center"/>
            <w:hideMark/>
          </w:tcPr>
          <w:p w14:paraId="3FBB35CA" w14:textId="77777777" w:rsidR="00F53AB2" w:rsidRPr="00E51207" w:rsidRDefault="00F53AB2" w:rsidP="003C3DAA">
            <w:pPr>
              <w:jc w:val="center"/>
              <w:rPr>
                <w:color w:val="000000"/>
                <w:sz w:val="16"/>
                <w:szCs w:val="16"/>
              </w:rPr>
            </w:pPr>
            <w:r w:rsidRPr="00E51207">
              <w:rPr>
                <w:color w:val="000000"/>
                <w:sz w:val="16"/>
                <w:szCs w:val="16"/>
              </w:rPr>
              <w:t>29/38</w:t>
            </w:r>
          </w:p>
        </w:tc>
        <w:tc>
          <w:tcPr>
            <w:tcW w:w="274" w:type="pct"/>
            <w:shd w:val="clear" w:color="auto" w:fill="F2F2F2" w:themeFill="background1" w:themeFillShade="F2"/>
            <w:noWrap/>
            <w:vAlign w:val="center"/>
            <w:hideMark/>
          </w:tcPr>
          <w:p w14:paraId="0C0B5D3A" w14:textId="77777777" w:rsidR="00F53AB2" w:rsidRPr="00E51207" w:rsidRDefault="00F53AB2" w:rsidP="003C3DAA">
            <w:pPr>
              <w:jc w:val="right"/>
              <w:rPr>
                <w:color w:val="000000"/>
                <w:sz w:val="16"/>
                <w:szCs w:val="16"/>
              </w:rPr>
            </w:pPr>
            <w:r w:rsidRPr="00E51207">
              <w:rPr>
                <w:color w:val="000000"/>
                <w:sz w:val="16"/>
                <w:szCs w:val="16"/>
              </w:rPr>
              <w:t>76,32%</w:t>
            </w:r>
          </w:p>
        </w:tc>
        <w:tc>
          <w:tcPr>
            <w:tcW w:w="274" w:type="pct"/>
            <w:shd w:val="clear" w:color="auto" w:fill="auto"/>
            <w:noWrap/>
            <w:vAlign w:val="center"/>
            <w:hideMark/>
          </w:tcPr>
          <w:p w14:paraId="2B04418E" w14:textId="77777777" w:rsidR="00F53AB2" w:rsidRPr="00E51207" w:rsidRDefault="00F53AB2" w:rsidP="003C3DAA">
            <w:pPr>
              <w:jc w:val="center"/>
              <w:rPr>
                <w:color w:val="000000"/>
                <w:sz w:val="16"/>
                <w:szCs w:val="16"/>
              </w:rPr>
            </w:pPr>
            <w:r w:rsidRPr="00E51207">
              <w:rPr>
                <w:color w:val="000000"/>
                <w:sz w:val="16"/>
                <w:szCs w:val="16"/>
              </w:rPr>
              <w:t>30/38</w:t>
            </w:r>
          </w:p>
        </w:tc>
        <w:tc>
          <w:tcPr>
            <w:tcW w:w="274" w:type="pct"/>
            <w:shd w:val="clear" w:color="auto" w:fill="auto"/>
            <w:noWrap/>
            <w:vAlign w:val="center"/>
            <w:hideMark/>
          </w:tcPr>
          <w:p w14:paraId="5D53A300" w14:textId="77777777" w:rsidR="00F53AB2" w:rsidRPr="00E51207" w:rsidRDefault="00F53AB2" w:rsidP="003C3DAA">
            <w:pPr>
              <w:jc w:val="right"/>
              <w:rPr>
                <w:color w:val="000000"/>
                <w:sz w:val="16"/>
                <w:szCs w:val="16"/>
              </w:rPr>
            </w:pPr>
            <w:r w:rsidRPr="00E51207">
              <w:rPr>
                <w:color w:val="000000"/>
                <w:sz w:val="16"/>
                <w:szCs w:val="16"/>
              </w:rPr>
              <w:t>78,95%</w:t>
            </w:r>
          </w:p>
        </w:tc>
        <w:tc>
          <w:tcPr>
            <w:tcW w:w="274" w:type="pct"/>
            <w:shd w:val="clear" w:color="auto" w:fill="F2F2F2" w:themeFill="background1" w:themeFillShade="F2"/>
            <w:noWrap/>
            <w:vAlign w:val="center"/>
            <w:hideMark/>
          </w:tcPr>
          <w:p w14:paraId="6CA11C9A" w14:textId="77777777" w:rsidR="00F53AB2" w:rsidRPr="00E51207" w:rsidRDefault="00F53AB2" w:rsidP="003C3DAA">
            <w:pPr>
              <w:jc w:val="center"/>
              <w:rPr>
                <w:color w:val="000000"/>
                <w:sz w:val="16"/>
                <w:szCs w:val="16"/>
              </w:rPr>
            </w:pPr>
            <w:r w:rsidRPr="00E51207">
              <w:rPr>
                <w:color w:val="000000"/>
                <w:sz w:val="16"/>
                <w:szCs w:val="16"/>
              </w:rPr>
              <w:t>37/38</w:t>
            </w:r>
          </w:p>
        </w:tc>
        <w:tc>
          <w:tcPr>
            <w:tcW w:w="274" w:type="pct"/>
            <w:shd w:val="clear" w:color="auto" w:fill="F2F2F2" w:themeFill="background1" w:themeFillShade="F2"/>
            <w:noWrap/>
            <w:vAlign w:val="center"/>
            <w:hideMark/>
          </w:tcPr>
          <w:p w14:paraId="7BD32578" w14:textId="77777777" w:rsidR="00F53AB2" w:rsidRPr="00E51207" w:rsidRDefault="00F53AB2" w:rsidP="003C3DAA">
            <w:pPr>
              <w:jc w:val="right"/>
              <w:rPr>
                <w:color w:val="000000"/>
                <w:sz w:val="16"/>
                <w:szCs w:val="16"/>
              </w:rPr>
            </w:pPr>
            <w:r w:rsidRPr="00E51207">
              <w:rPr>
                <w:color w:val="000000"/>
                <w:sz w:val="16"/>
                <w:szCs w:val="16"/>
              </w:rPr>
              <w:t>97,37%</w:t>
            </w:r>
          </w:p>
        </w:tc>
        <w:tc>
          <w:tcPr>
            <w:tcW w:w="274" w:type="pct"/>
            <w:shd w:val="clear" w:color="auto" w:fill="auto"/>
            <w:noWrap/>
            <w:vAlign w:val="center"/>
            <w:hideMark/>
          </w:tcPr>
          <w:p w14:paraId="6E517197"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auto"/>
            <w:noWrap/>
            <w:vAlign w:val="center"/>
            <w:hideMark/>
          </w:tcPr>
          <w:p w14:paraId="457F9794" w14:textId="77777777" w:rsidR="00F53AB2" w:rsidRPr="00E51207" w:rsidRDefault="00F53AB2" w:rsidP="003C3DAA">
            <w:pPr>
              <w:jc w:val="right"/>
              <w:rPr>
                <w:color w:val="000000"/>
                <w:sz w:val="16"/>
                <w:szCs w:val="16"/>
              </w:rPr>
            </w:pPr>
            <w:r w:rsidRPr="00E51207">
              <w:rPr>
                <w:color w:val="000000"/>
                <w:sz w:val="16"/>
                <w:szCs w:val="16"/>
              </w:rPr>
              <w:t>100%</w:t>
            </w:r>
          </w:p>
        </w:tc>
        <w:tc>
          <w:tcPr>
            <w:tcW w:w="274" w:type="pct"/>
            <w:shd w:val="clear" w:color="auto" w:fill="F2F2F2" w:themeFill="background1" w:themeFillShade="F2"/>
            <w:noWrap/>
            <w:vAlign w:val="center"/>
            <w:hideMark/>
          </w:tcPr>
          <w:p w14:paraId="4AE6EDFE" w14:textId="77777777" w:rsidR="00F53AB2" w:rsidRPr="00E51207" w:rsidRDefault="00F53AB2" w:rsidP="003C3DAA">
            <w:pPr>
              <w:jc w:val="center"/>
              <w:rPr>
                <w:color w:val="000000"/>
                <w:sz w:val="16"/>
                <w:szCs w:val="16"/>
              </w:rPr>
            </w:pPr>
            <w:r w:rsidRPr="00E51207">
              <w:rPr>
                <w:color w:val="000000"/>
                <w:sz w:val="16"/>
                <w:szCs w:val="16"/>
              </w:rPr>
              <w:t>34/38</w:t>
            </w:r>
          </w:p>
        </w:tc>
        <w:tc>
          <w:tcPr>
            <w:tcW w:w="274" w:type="pct"/>
            <w:shd w:val="clear" w:color="auto" w:fill="F2F2F2" w:themeFill="background1" w:themeFillShade="F2"/>
            <w:noWrap/>
            <w:vAlign w:val="center"/>
            <w:hideMark/>
          </w:tcPr>
          <w:p w14:paraId="18451253" w14:textId="77777777" w:rsidR="00F53AB2" w:rsidRPr="00E51207" w:rsidRDefault="00F53AB2" w:rsidP="003C3DAA">
            <w:pPr>
              <w:jc w:val="right"/>
              <w:rPr>
                <w:color w:val="000000"/>
                <w:sz w:val="16"/>
                <w:szCs w:val="16"/>
              </w:rPr>
            </w:pPr>
            <w:r w:rsidRPr="00E51207">
              <w:rPr>
                <w:color w:val="000000"/>
                <w:sz w:val="16"/>
                <w:szCs w:val="16"/>
              </w:rPr>
              <w:t>89,47%</w:t>
            </w:r>
          </w:p>
        </w:tc>
      </w:tr>
      <w:tr w:rsidR="00F53AB2" w:rsidRPr="007B3AE5" w14:paraId="0F156450" w14:textId="77777777" w:rsidTr="002263D5">
        <w:trPr>
          <w:trHeight w:val="290"/>
        </w:trPr>
        <w:tc>
          <w:tcPr>
            <w:tcW w:w="199" w:type="pct"/>
            <w:shd w:val="clear" w:color="auto" w:fill="auto"/>
            <w:noWrap/>
            <w:vAlign w:val="center"/>
            <w:hideMark/>
          </w:tcPr>
          <w:p w14:paraId="2CC95F73" w14:textId="77777777" w:rsidR="00F53AB2" w:rsidRPr="00E51207" w:rsidRDefault="00F53AB2" w:rsidP="003C3DAA">
            <w:pPr>
              <w:jc w:val="right"/>
              <w:rPr>
                <w:color w:val="000000"/>
                <w:sz w:val="16"/>
                <w:szCs w:val="16"/>
              </w:rPr>
            </w:pPr>
            <w:r w:rsidRPr="00E51207">
              <w:rPr>
                <w:color w:val="000000"/>
                <w:sz w:val="16"/>
                <w:szCs w:val="16"/>
              </w:rPr>
              <w:t>62.</w:t>
            </w:r>
          </w:p>
        </w:tc>
        <w:tc>
          <w:tcPr>
            <w:tcW w:w="2060" w:type="pct"/>
            <w:shd w:val="clear" w:color="auto" w:fill="auto"/>
            <w:noWrap/>
            <w:vAlign w:val="center"/>
            <w:hideMark/>
          </w:tcPr>
          <w:p w14:paraId="445F8C54" w14:textId="77777777" w:rsidR="00F53AB2" w:rsidRPr="00E51207" w:rsidRDefault="00F53AB2" w:rsidP="003C3DAA">
            <w:pPr>
              <w:rPr>
                <w:color w:val="000000"/>
                <w:sz w:val="16"/>
                <w:szCs w:val="16"/>
              </w:rPr>
            </w:pPr>
            <w:r w:rsidRPr="00E51207">
              <w:rPr>
                <w:color w:val="000000"/>
                <w:sz w:val="16"/>
                <w:szCs w:val="16"/>
              </w:rPr>
              <w:t>Agencija za zaštitu ličnih podataka BiH</w:t>
            </w:r>
          </w:p>
        </w:tc>
        <w:tc>
          <w:tcPr>
            <w:tcW w:w="274" w:type="pct"/>
            <w:shd w:val="clear" w:color="auto" w:fill="F2F2F2" w:themeFill="background1" w:themeFillShade="F2"/>
            <w:noWrap/>
            <w:vAlign w:val="center"/>
            <w:hideMark/>
          </w:tcPr>
          <w:p w14:paraId="20974C48" w14:textId="77777777" w:rsidR="00F53AB2" w:rsidRPr="00E51207" w:rsidRDefault="00F53AB2" w:rsidP="003C3DAA">
            <w:pPr>
              <w:jc w:val="center"/>
              <w:rPr>
                <w:color w:val="000000"/>
                <w:sz w:val="16"/>
                <w:szCs w:val="16"/>
              </w:rPr>
            </w:pPr>
            <w:r w:rsidRPr="00E51207">
              <w:rPr>
                <w:color w:val="000000"/>
                <w:sz w:val="16"/>
                <w:szCs w:val="16"/>
              </w:rPr>
              <w:t>18/38</w:t>
            </w:r>
          </w:p>
        </w:tc>
        <w:tc>
          <w:tcPr>
            <w:tcW w:w="274" w:type="pct"/>
            <w:shd w:val="clear" w:color="auto" w:fill="F2F2F2" w:themeFill="background1" w:themeFillShade="F2"/>
            <w:noWrap/>
            <w:vAlign w:val="center"/>
            <w:hideMark/>
          </w:tcPr>
          <w:p w14:paraId="675630DC" w14:textId="77777777" w:rsidR="00F53AB2" w:rsidRPr="00E51207" w:rsidRDefault="00F53AB2" w:rsidP="003C3DAA">
            <w:pPr>
              <w:jc w:val="right"/>
              <w:rPr>
                <w:color w:val="000000"/>
                <w:sz w:val="16"/>
                <w:szCs w:val="16"/>
              </w:rPr>
            </w:pPr>
            <w:r w:rsidRPr="00E51207">
              <w:rPr>
                <w:color w:val="000000"/>
                <w:sz w:val="16"/>
                <w:szCs w:val="16"/>
              </w:rPr>
              <w:t>47,37%</w:t>
            </w:r>
          </w:p>
        </w:tc>
        <w:tc>
          <w:tcPr>
            <w:tcW w:w="274" w:type="pct"/>
            <w:shd w:val="clear" w:color="auto" w:fill="auto"/>
            <w:noWrap/>
            <w:vAlign w:val="center"/>
            <w:hideMark/>
          </w:tcPr>
          <w:p w14:paraId="709D456E" w14:textId="77777777" w:rsidR="00F53AB2" w:rsidRPr="00E51207" w:rsidRDefault="00F53AB2" w:rsidP="003C3DAA">
            <w:pPr>
              <w:jc w:val="center"/>
              <w:rPr>
                <w:color w:val="000000"/>
                <w:sz w:val="16"/>
                <w:szCs w:val="16"/>
              </w:rPr>
            </w:pPr>
            <w:r w:rsidRPr="00E51207">
              <w:rPr>
                <w:color w:val="000000"/>
                <w:sz w:val="16"/>
                <w:szCs w:val="16"/>
              </w:rPr>
              <w:t>23/38</w:t>
            </w:r>
          </w:p>
        </w:tc>
        <w:tc>
          <w:tcPr>
            <w:tcW w:w="274" w:type="pct"/>
            <w:shd w:val="clear" w:color="auto" w:fill="auto"/>
            <w:noWrap/>
            <w:vAlign w:val="center"/>
            <w:hideMark/>
          </w:tcPr>
          <w:p w14:paraId="5C7D812C" w14:textId="77777777" w:rsidR="00F53AB2" w:rsidRPr="00E51207" w:rsidRDefault="00F53AB2" w:rsidP="003C3DAA">
            <w:pPr>
              <w:jc w:val="right"/>
              <w:rPr>
                <w:color w:val="000000"/>
                <w:sz w:val="16"/>
                <w:szCs w:val="16"/>
              </w:rPr>
            </w:pPr>
            <w:r w:rsidRPr="00E51207">
              <w:rPr>
                <w:color w:val="000000"/>
                <w:sz w:val="16"/>
                <w:szCs w:val="16"/>
              </w:rPr>
              <w:t>60,53%</w:t>
            </w:r>
          </w:p>
        </w:tc>
        <w:tc>
          <w:tcPr>
            <w:tcW w:w="274" w:type="pct"/>
            <w:shd w:val="clear" w:color="auto" w:fill="F2F2F2" w:themeFill="background1" w:themeFillShade="F2"/>
            <w:noWrap/>
            <w:vAlign w:val="center"/>
            <w:hideMark/>
          </w:tcPr>
          <w:p w14:paraId="55D16AB2" w14:textId="77777777" w:rsidR="00F53AB2" w:rsidRPr="00E51207" w:rsidRDefault="00F53AB2" w:rsidP="003C3DAA">
            <w:pPr>
              <w:jc w:val="center"/>
              <w:rPr>
                <w:color w:val="000000"/>
                <w:sz w:val="16"/>
                <w:szCs w:val="16"/>
              </w:rPr>
            </w:pPr>
            <w:r w:rsidRPr="00E51207">
              <w:rPr>
                <w:color w:val="000000"/>
                <w:sz w:val="16"/>
                <w:szCs w:val="16"/>
              </w:rPr>
              <w:t>24/38</w:t>
            </w:r>
          </w:p>
        </w:tc>
        <w:tc>
          <w:tcPr>
            <w:tcW w:w="274" w:type="pct"/>
            <w:shd w:val="clear" w:color="auto" w:fill="F2F2F2" w:themeFill="background1" w:themeFillShade="F2"/>
            <w:noWrap/>
            <w:vAlign w:val="center"/>
            <w:hideMark/>
          </w:tcPr>
          <w:p w14:paraId="5DF71637" w14:textId="77777777" w:rsidR="00F53AB2" w:rsidRPr="00E51207" w:rsidRDefault="00F53AB2" w:rsidP="003C3DAA">
            <w:pPr>
              <w:jc w:val="right"/>
              <w:rPr>
                <w:color w:val="000000"/>
                <w:sz w:val="16"/>
                <w:szCs w:val="16"/>
              </w:rPr>
            </w:pPr>
            <w:r w:rsidRPr="00E51207">
              <w:rPr>
                <w:color w:val="000000"/>
                <w:sz w:val="16"/>
                <w:szCs w:val="16"/>
              </w:rPr>
              <w:t>63,16%</w:t>
            </w:r>
          </w:p>
        </w:tc>
        <w:tc>
          <w:tcPr>
            <w:tcW w:w="274" w:type="pct"/>
            <w:shd w:val="clear" w:color="auto" w:fill="auto"/>
            <w:noWrap/>
            <w:vAlign w:val="center"/>
            <w:hideMark/>
          </w:tcPr>
          <w:p w14:paraId="6B1C16DE" w14:textId="77777777" w:rsidR="00F53AB2" w:rsidRPr="00E51207" w:rsidRDefault="00F53AB2" w:rsidP="003C3DAA">
            <w:pPr>
              <w:jc w:val="center"/>
              <w:rPr>
                <w:color w:val="000000"/>
                <w:sz w:val="16"/>
                <w:szCs w:val="16"/>
              </w:rPr>
            </w:pPr>
            <w:r w:rsidRPr="00E51207">
              <w:rPr>
                <w:color w:val="000000"/>
                <w:sz w:val="16"/>
                <w:szCs w:val="16"/>
              </w:rPr>
              <w:t>22/38</w:t>
            </w:r>
          </w:p>
        </w:tc>
        <w:tc>
          <w:tcPr>
            <w:tcW w:w="274" w:type="pct"/>
            <w:shd w:val="clear" w:color="auto" w:fill="auto"/>
            <w:noWrap/>
            <w:vAlign w:val="center"/>
            <w:hideMark/>
          </w:tcPr>
          <w:p w14:paraId="2FA62927" w14:textId="77777777" w:rsidR="00F53AB2" w:rsidRPr="00E51207" w:rsidRDefault="00F53AB2" w:rsidP="003C3DAA">
            <w:pPr>
              <w:jc w:val="right"/>
              <w:rPr>
                <w:color w:val="000000"/>
                <w:sz w:val="16"/>
                <w:szCs w:val="16"/>
              </w:rPr>
            </w:pPr>
            <w:r w:rsidRPr="00E51207">
              <w:rPr>
                <w:color w:val="000000"/>
                <w:sz w:val="16"/>
                <w:szCs w:val="16"/>
              </w:rPr>
              <w:t>57,89%</w:t>
            </w:r>
          </w:p>
        </w:tc>
        <w:tc>
          <w:tcPr>
            <w:tcW w:w="274" w:type="pct"/>
            <w:shd w:val="clear" w:color="auto" w:fill="F2F2F2" w:themeFill="background1" w:themeFillShade="F2"/>
            <w:noWrap/>
            <w:vAlign w:val="center"/>
            <w:hideMark/>
          </w:tcPr>
          <w:p w14:paraId="1485833B" w14:textId="77777777" w:rsidR="00F53AB2" w:rsidRPr="00E51207" w:rsidRDefault="00F53AB2" w:rsidP="003C3DAA">
            <w:pPr>
              <w:jc w:val="center"/>
              <w:rPr>
                <w:color w:val="000000"/>
                <w:sz w:val="16"/>
                <w:szCs w:val="16"/>
              </w:rPr>
            </w:pPr>
            <w:r w:rsidRPr="00E51207">
              <w:rPr>
                <w:color w:val="000000"/>
                <w:sz w:val="16"/>
                <w:szCs w:val="16"/>
              </w:rPr>
              <w:t>34/38</w:t>
            </w:r>
          </w:p>
        </w:tc>
        <w:tc>
          <w:tcPr>
            <w:tcW w:w="274" w:type="pct"/>
            <w:shd w:val="clear" w:color="auto" w:fill="F2F2F2" w:themeFill="background1" w:themeFillShade="F2"/>
            <w:noWrap/>
            <w:vAlign w:val="center"/>
            <w:hideMark/>
          </w:tcPr>
          <w:p w14:paraId="61081B8A" w14:textId="77777777" w:rsidR="00F53AB2" w:rsidRPr="00E51207" w:rsidRDefault="00F53AB2" w:rsidP="003C3DAA">
            <w:pPr>
              <w:jc w:val="right"/>
              <w:rPr>
                <w:color w:val="000000"/>
                <w:sz w:val="16"/>
                <w:szCs w:val="16"/>
              </w:rPr>
            </w:pPr>
            <w:r w:rsidRPr="00E51207">
              <w:rPr>
                <w:color w:val="000000"/>
                <w:sz w:val="16"/>
                <w:szCs w:val="16"/>
              </w:rPr>
              <w:t>89,47%</w:t>
            </w:r>
          </w:p>
        </w:tc>
      </w:tr>
      <w:tr w:rsidR="00F53AB2" w:rsidRPr="007B3AE5" w14:paraId="6BBCBDE0" w14:textId="77777777" w:rsidTr="002263D5">
        <w:trPr>
          <w:trHeight w:val="290"/>
        </w:trPr>
        <w:tc>
          <w:tcPr>
            <w:tcW w:w="199" w:type="pct"/>
            <w:shd w:val="clear" w:color="auto" w:fill="auto"/>
            <w:noWrap/>
            <w:vAlign w:val="center"/>
            <w:hideMark/>
          </w:tcPr>
          <w:p w14:paraId="42B6091C" w14:textId="77777777" w:rsidR="00F53AB2" w:rsidRPr="00E51207" w:rsidRDefault="00F53AB2" w:rsidP="003C3DAA">
            <w:pPr>
              <w:jc w:val="right"/>
              <w:rPr>
                <w:color w:val="000000"/>
                <w:sz w:val="16"/>
                <w:szCs w:val="16"/>
              </w:rPr>
            </w:pPr>
            <w:r w:rsidRPr="00E51207">
              <w:rPr>
                <w:color w:val="000000"/>
                <w:sz w:val="16"/>
                <w:szCs w:val="16"/>
              </w:rPr>
              <w:t>63.</w:t>
            </w:r>
          </w:p>
        </w:tc>
        <w:tc>
          <w:tcPr>
            <w:tcW w:w="2060" w:type="pct"/>
            <w:shd w:val="clear" w:color="auto" w:fill="auto"/>
            <w:noWrap/>
            <w:vAlign w:val="center"/>
            <w:hideMark/>
          </w:tcPr>
          <w:p w14:paraId="5C884BEA" w14:textId="77777777" w:rsidR="00F53AB2" w:rsidRPr="00E51207" w:rsidRDefault="00F53AB2" w:rsidP="003C3DAA">
            <w:pPr>
              <w:rPr>
                <w:color w:val="000000"/>
                <w:sz w:val="16"/>
                <w:szCs w:val="16"/>
              </w:rPr>
            </w:pPr>
            <w:r w:rsidRPr="00E51207">
              <w:rPr>
                <w:color w:val="000000"/>
                <w:sz w:val="16"/>
                <w:szCs w:val="16"/>
              </w:rPr>
              <w:t>Institut za mjeriteljstvo BiH</w:t>
            </w:r>
          </w:p>
        </w:tc>
        <w:tc>
          <w:tcPr>
            <w:tcW w:w="274" w:type="pct"/>
            <w:shd w:val="clear" w:color="auto" w:fill="F2F2F2" w:themeFill="background1" w:themeFillShade="F2"/>
            <w:noWrap/>
            <w:vAlign w:val="center"/>
            <w:hideMark/>
          </w:tcPr>
          <w:p w14:paraId="73D53A8E" w14:textId="77777777" w:rsidR="00F53AB2" w:rsidRPr="00E51207" w:rsidRDefault="00F53AB2" w:rsidP="003C3DAA">
            <w:pPr>
              <w:jc w:val="center"/>
              <w:rPr>
                <w:color w:val="000000"/>
                <w:sz w:val="16"/>
                <w:szCs w:val="16"/>
              </w:rPr>
            </w:pPr>
            <w:r w:rsidRPr="00E51207">
              <w:rPr>
                <w:color w:val="000000"/>
                <w:sz w:val="16"/>
                <w:szCs w:val="16"/>
              </w:rPr>
              <w:t>11/38</w:t>
            </w:r>
          </w:p>
        </w:tc>
        <w:tc>
          <w:tcPr>
            <w:tcW w:w="274" w:type="pct"/>
            <w:shd w:val="clear" w:color="auto" w:fill="F2F2F2" w:themeFill="background1" w:themeFillShade="F2"/>
            <w:noWrap/>
            <w:vAlign w:val="center"/>
            <w:hideMark/>
          </w:tcPr>
          <w:p w14:paraId="56343EAA" w14:textId="77777777" w:rsidR="00F53AB2" w:rsidRPr="00E51207" w:rsidRDefault="00F53AB2" w:rsidP="003C3DAA">
            <w:pPr>
              <w:jc w:val="right"/>
              <w:rPr>
                <w:color w:val="000000"/>
                <w:sz w:val="16"/>
                <w:szCs w:val="16"/>
              </w:rPr>
            </w:pPr>
            <w:r w:rsidRPr="00E51207">
              <w:rPr>
                <w:color w:val="000000"/>
                <w:sz w:val="16"/>
                <w:szCs w:val="16"/>
              </w:rPr>
              <w:t>28,95%</w:t>
            </w:r>
          </w:p>
        </w:tc>
        <w:tc>
          <w:tcPr>
            <w:tcW w:w="274" w:type="pct"/>
            <w:shd w:val="clear" w:color="auto" w:fill="auto"/>
            <w:noWrap/>
            <w:vAlign w:val="center"/>
            <w:hideMark/>
          </w:tcPr>
          <w:p w14:paraId="2D54DAF2" w14:textId="77777777" w:rsidR="00F53AB2" w:rsidRPr="00E51207" w:rsidRDefault="00F53AB2" w:rsidP="003C3DAA">
            <w:pPr>
              <w:jc w:val="center"/>
              <w:rPr>
                <w:color w:val="000000"/>
                <w:sz w:val="16"/>
                <w:szCs w:val="16"/>
              </w:rPr>
            </w:pPr>
            <w:r w:rsidRPr="00E51207">
              <w:rPr>
                <w:color w:val="000000"/>
                <w:sz w:val="16"/>
                <w:szCs w:val="16"/>
              </w:rPr>
              <w:t>30/38</w:t>
            </w:r>
          </w:p>
        </w:tc>
        <w:tc>
          <w:tcPr>
            <w:tcW w:w="274" w:type="pct"/>
            <w:shd w:val="clear" w:color="auto" w:fill="auto"/>
            <w:noWrap/>
            <w:vAlign w:val="center"/>
            <w:hideMark/>
          </w:tcPr>
          <w:p w14:paraId="2B6051ED" w14:textId="77777777" w:rsidR="00F53AB2" w:rsidRPr="00E51207" w:rsidRDefault="00F53AB2" w:rsidP="003C3DAA">
            <w:pPr>
              <w:jc w:val="right"/>
              <w:rPr>
                <w:color w:val="000000"/>
                <w:sz w:val="16"/>
                <w:szCs w:val="16"/>
              </w:rPr>
            </w:pPr>
            <w:r w:rsidRPr="00E51207">
              <w:rPr>
                <w:color w:val="000000"/>
                <w:sz w:val="16"/>
                <w:szCs w:val="16"/>
              </w:rPr>
              <w:t>78,95%</w:t>
            </w:r>
          </w:p>
        </w:tc>
        <w:tc>
          <w:tcPr>
            <w:tcW w:w="274" w:type="pct"/>
            <w:shd w:val="clear" w:color="auto" w:fill="F2F2F2" w:themeFill="background1" w:themeFillShade="F2"/>
            <w:noWrap/>
            <w:vAlign w:val="center"/>
            <w:hideMark/>
          </w:tcPr>
          <w:p w14:paraId="2933CD09" w14:textId="77777777" w:rsidR="00F53AB2" w:rsidRPr="00E51207" w:rsidRDefault="00F53AB2" w:rsidP="003C3DAA">
            <w:pPr>
              <w:jc w:val="center"/>
              <w:rPr>
                <w:color w:val="000000"/>
                <w:sz w:val="16"/>
                <w:szCs w:val="16"/>
              </w:rPr>
            </w:pPr>
            <w:r w:rsidRPr="00E51207">
              <w:rPr>
                <w:color w:val="000000"/>
                <w:sz w:val="16"/>
                <w:szCs w:val="16"/>
              </w:rPr>
              <w:t>31/38</w:t>
            </w:r>
          </w:p>
        </w:tc>
        <w:tc>
          <w:tcPr>
            <w:tcW w:w="274" w:type="pct"/>
            <w:shd w:val="clear" w:color="auto" w:fill="F2F2F2" w:themeFill="background1" w:themeFillShade="F2"/>
            <w:noWrap/>
            <w:vAlign w:val="center"/>
            <w:hideMark/>
          </w:tcPr>
          <w:p w14:paraId="434DA73D" w14:textId="77777777" w:rsidR="00F53AB2" w:rsidRPr="00E51207" w:rsidRDefault="00F53AB2" w:rsidP="003C3DAA">
            <w:pPr>
              <w:jc w:val="right"/>
              <w:rPr>
                <w:color w:val="000000"/>
                <w:sz w:val="16"/>
                <w:szCs w:val="16"/>
              </w:rPr>
            </w:pPr>
            <w:r w:rsidRPr="00E51207">
              <w:rPr>
                <w:color w:val="000000"/>
                <w:sz w:val="16"/>
                <w:szCs w:val="16"/>
              </w:rPr>
              <w:t>81,58%</w:t>
            </w:r>
          </w:p>
        </w:tc>
        <w:tc>
          <w:tcPr>
            <w:tcW w:w="274" w:type="pct"/>
            <w:shd w:val="clear" w:color="auto" w:fill="auto"/>
            <w:noWrap/>
            <w:vAlign w:val="center"/>
            <w:hideMark/>
          </w:tcPr>
          <w:p w14:paraId="1515A841" w14:textId="77777777" w:rsidR="00F53AB2" w:rsidRPr="00E51207" w:rsidRDefault="00F53AB2" w:rsidP="003C3DAA">
            <w:pPr>
              <w:jc w:val="center"/>
              <w:rPr>
                <w:color w:val="000000"/>
                <w:sz w:val="16"/>
                <w:szCs w:val="16"/>
              </w:rPr>
            </w:pPr>
            <w:r w:rsidRPr="00E51207">
              <w:rPr>
                <w:color w:val="000000"/>
                <w:sz w:val="16"/>
                <w:szCs w:val="16"/>
              </w:rPr>
              <w:t>31/38</w:t>
            </w:r>
          </w:p>
        </w:tc>
        <w:tc>
          <w:tcPr>
            <w:tcW w:w="274" w:type="pct"/>
            <w:shd w:val="clear" w:color="auto" w:fill="auto"/>
            <w:noWrap/>
            <w:vAlign w:val="center"/>
            <w:hideMark/>
          </w:tcPr>
          <w:p w14:paraId="7AE477F6" w14:textId="77777777" w:rsidR="00F53AB2" w:rsidRPr="00E51207" w:rsidRDefault="00F53AB2" w:rsidP="003C3DAA">
            <w:pPr>
              <w:jc w:val="right"/>
              <w:rPr>
                <w:color w:val="000000"/>
                <w:sz w:val="16"/>
                <w:szCs w:val="16"/>
              </w:rPr>
            </w:pPr>
            <w:r w:rsidRPr="00E51207">
              <w:rPr>
                <w:color w:val="000000"/>
                <w:sz w:val="16"/>
                <w:szCs w:val="16"/>
              </w:rPr>
              <w:t>81,58%</w:t>
            </w:r>
          </w:p>
        </w:tc>
        <w:tc>
          <w:tcPr>
            <w:tcW w:w="274" w:type="pct"/>
            <w:shd w:val="clear" w:color="auto" w:fill="F2F2F2" w:themeFill="background1" w:themeFillShade="F2"/>
            <w:noWrap/>
            <w:vAlign w:val="center"/>
            <w:hideMark/>
          </w:tcPr>
          <w:p w14:paraId="29DB1AF8" w14:textId="77777777" w:rsidR="00F53AB2" w:rsidRPr="00E51207" w:rsidRDefault="00F53AB2" w:rsidP="003C3DAA">
            <w:pPr>
              <w:jc w:val="center"/>
              <w:rPr>
                <w:color w:val="000000"/>
                <w:sz w:val="16"/>
                <w:szCs w:val="16"/>
              </w:rPr>
            </w:pPr>
            <w:r w:rsidRPr="00E51207">
              <w:rPr>
                <w:color w:val="000000"/>
                <w:sz w:val="16"/>
                <w:szCs w:val="16"/>
              </w:rPr>
              <w:t>34/38</w:t>
            </w:r>
          </w:p>
        </w:tc>
        <w:tc>
          <w:tcPr>
            <w:tcW w:w="274" w:type="pct"/>
            <w:shd w:val="clear" w:color="auto" w:fill="F2F2F2" w:themeFill="background1" w:themeFillShade="F2"/>
            <w:noWrap/>
            <w:vAlign w:val="center"/>
            <w:hideMark/>
          </w:tcPr>
          <w:p w14:paraId="55A666A5" w14:textId="77777777" w:rsidR="00F53AB2" w:rsidRPr="00E51207" w:rsidRDefault="00F53AB2" w:rsidP="003C3DAA">
            <w:pPr>
              <w:jc w:val="right"/>
              <w:rPr>
                <w:color w:val="000000"/>
                <w:sz w:val="16"/>
                <w:szCs w:val="16"/>
              </w:rPr>
            </w:pPr>
            <w:r w:rsidRPr="00E51207">
              <w:rPr>
                <w:color w:val="000000"/>
                <w:sz w:val="16"/>
                <w:szCs w:val="16"/>
              </w:rPr>
              <w:t>89,47%</w:t>
            </w:r>
          </w:p>
        </w:tc>
      </w:tr>
      <w:tr w:rsidR="00F53AB2" w:rsidRPr="007B3AE5" w14:paraId="1054C6DC" w14:textId="77777777" w:rsidTr="002263D5">
        <w:trPr>
          <w:trHeight w:val="290"/>
        </w:trPr>
        <w:tc>
          <w:tcPr>
            <w:tcW w:w="199" w:type="pct"/>
            <w:shd w:val="clear" w:color="auto" w:fill="auto"/>
            <w:noWrap/>
            <w:vAlign w:val="center"/>
            <w:hideMark/>
          </w:tcPr>
          <w:p w14:paraId="42CD36D5" w14:textId="77777777" w:rsidR="00F53AB2" w:rsidRPr="00E51207" w:rsidRDefault="00F53AB2" w:rsidP="003C3DAA">
            <w:pPr>
              <w:jc w:val="right"/>
              <w:rPr>
                <w:color w:val="000000"/>
                <w:sz w:val="16"/>
                <w:szCs w:val="16"/>
              </w:rPr>
            </w:pPr>
            <w:r w:rsidRPr="00E51207">
              <w:rPr>
                <w:color w:val="000000"/>
                <w:sz w:val="16"/>
                <w:szCs w:val="16"/>
              </w:rPr>
              <w:t>64.</w:t>
            </w:r>
          </w:p>
        </w:tc>
        <w:tc>
          <w:tcPr>
            <w:tcW w:w="2060" w:type="pct"/>
            <w:shd w:val="clear" w:color="auto" w:fill="auto"/>
            <w:noWrap/>
            <w:vAlign w:val="center"/>
            <w:hideMark/>
          </w:tcPr>
          <w:p w14:paraId="55BD57FA" w14:textId="77777777" w:rsidR="00F53AB2" w:rsidRPr="00E51207" w:rsidRDefault="00F53AB2" w:rsidP="003C3DAA">
            <w:pPr>
              <w:rPr>
                <w:color w:val="000000"/>
                <w:sz w:val="16"/>
                <w:szCs w:val="16"/>
              </w:rPr>
            </w:pPr>
            <w:r w:rsidRPr="00E51207">
              <w:rPr>
                <w:color w:val="000000"/>
                <w:sz w:val="16"/>
                <w:szCs w:val="16"/>
              </w:rPr>
              <w:t>Agencija za javne nabavke BiH</w:t>
            </w:r>
          </w:p>
        </w:tc>
        <w:tc>
          <w:tcPr>
            <w:tcW w:w="274" w:type="pct"/>
            <w:shd w:val="clear" w:color="auto" w:fill="F2F2F2" w:themeFill="background1" w:themeFillShade="F2"/>
            <w:noWrap/>
            <w:vAlign w:val="center"/>
            <w:hideMark/>
          </w:tcPr>
          <w:p w14:paraId="5BE5006A" w14:textId="77777777" w:rsidR="00F53AB2" w:rsidRPr="00E51207" w:rsidRDefault="00F53AB2" w:rsidP="003C3DAA">
            <w:pPr>
              <w:jc w:val="center"/>
              <w:rPr>
                <w:color w:val="000000"/>
                <w:sz w:val="16"/>
                <w:szCs w:val="16"/>
              </w:rPr>
            </w:pPr>
            <w:r w:rsidRPr="00E51207">
              <w:rPr>
                <w:color w:val="000000"/>
                <w:sz w:val="16"/>
                <w:szCs w:val="16"/>
              </w:rPr>
              <w:t>19/38</w:t>
            </w:r>
          </w:p>
        </w:tc>
        <w:tc>
          <w:tcPr>
            <w:tcW w:w="274" w:type="pct"/>
            <w:shd w:val="clear" w:color="auto" w:fill="F2F2F2" w:themeFill="background1" w:themeFillShade="F2"/>
            <w:noWrap/>
            <w:vAlign w:val="center"/>
            <w:hideMark/>
          </w:tcPr>
          <w:p w14:paraId="7B4DC03D" w14:textId="77777777" w:rsidR="00F53AB2" w:rsidRPr="00E51207" w:rsidRDefault="00F53AB2" w:rsidP="003C3DAA">
            <w:pPr>
              <w:jc w:val="right"/>
              <w:rPr>
                <w:color w:val="000000"/>
                <w:sz w:val="16"/>
                <w:szCs w:val="16"/>
              </w:rPr>
            </w:pPr>
            <w:r w:rsidRPr="00E51207">
              <w:rPr>
                <w:color w:val="000000"/>
                <w:sz w:val="16"/>
                <w:szCs w:val="16"/>
              </w:rPr>
              <w:t>50</w:t>
            </w:r>
            <w:r>
              <w:rPr>
                <w:color w:val="000000"/>
                <w:sz w:val="16"/>
                <w:szCs w:val="16"/>
              </w:rPr>
              <w:t>,00</w:t>
            </w:r>
            <w:r w:rsidRPr="00E51207">
              <w:rPr>
                <w:color w:val="000000"/>
                <w:sz w:val="16"/>
                <w:szCs w:val="16"/>
              </w:rPr>
              <w:t>%</w:t>
            </w:r>
          </w:p>
        </w:tc>
        <w:tc>
          <w:tcPr>
            <w:tcW w:w="274" w:type="pct"/>
            <w:shd w:val="clear" w:color="auto" w:fill="auto"/>
            <w:noWrap/>
            <w:vAlign w:val="center"/>
            <w:hideMark/>
          </w:tcPr>
          <w:p w14:paraId="70D4ED47" w14:textId="77777777" w:rsidR="00F53AB2" w:rsidRPr="00E51207" w:rsidRDefault="00F53AB2" w:rsidP="003C3DAA">
            <w:pPr>
              <w:jc w:val="center"/>
              <w:rPr>
                <w:color w:val="000000"/>
                <w:sz w:val="16"/>
                <w:szCs w:val="16"/>
              </w:rPr>
            </w:pPr>
            <w:r w:rsidRPr="00E51207">
              <w:rPr>
                <w:color w:val="000000"/>
                <w:sz w:val="16"/>
                <w:szCs w:val="16"/>
              </w:rPr>
              <w:t>26/38</w:t>
            </w:r>
          </w:p>
        </w:tc>
        <w:tc>
          <w:tcPr>
            <w:tcW w:w="274" w:type="pct"/>
            <w:shd w:val="clear" w:color="auto" w:fill="auto"/>
            <w:noWrap/>
            <w:vAlign w:val="center"/>
            <w:hideMark/>
          </w:tcPr>
          <w:p w14:paraId="339FA638" w14:textId="77777777" w:rsidR="00F53AB2" w:rsidRPr="00E51207" w:rsidRDefault="00F53AB2" w:rsidP="003C3DAA">
            <w:pPr>
              <w:jc w:val="right"/>
              <w:rPr>
                <w:color w:val="000000"/>
                <w:sz w:val="16"/>
                <w:szCs w:val="16"/>
              </w:rPr>
            </w:pPr>
            <w:r w:rsidRPr="00E51207">
              <w:rPr>
                <w:color w:val="000000"/>
                <w:sz w:val="16"/>
                <w:szCs w:val="16"/>
              </w:rPr>
              <w:t>68,42%</w:t>
            </w:r>
          </w:p>
        </w:tc>
        <w:tc>
          <w:tcPr>
            <w:tcW w:w="274" w:type="pct"/>
            <w:shd w:val="clear" w:color="auto" w:fill="F2F2F2" w:themeFill="background1" w:themeFillShade="F2"/>
            <w:noWrap/>
            <w:vAlign w:val="center"/>
            <w:hideMark/>
          </w:tcPr>
          <w:p w14:paraId="0EB87BB4" w14:textId="77777777" w:rsidR="00F53AB2" w:rsidRPr="00E51207" w:rsidRDefault="00F53AB2" w:rsidP="003C3DAA">
            <w:pPr>
              <w:jc w:val="center"/>
              <w:rPr>
                <w:color w:val="000000"/>
                <w:sz w:val="16"/>
                <w:szCs w:val="16"/>
              </w:rPr>
            </w:pPr>
            <w:r w:rsidRPr="00E51207">
              <w:rPr>
                <w:color w:val="000000"/>
                <w:sz w:val="16"/>
                <w:szCs w:val="16"/>
              </w:rPr>
              <w:t>27/38</w:t>
            </w:r>
          </w:p>
        </w:tc>
        <w:tc>
          <w:tcPr>
            <w:tcW w:w="274" w:type="pct"/>
            <w:shd w:val="clear" w:color="auto" w:fill="F2F2F2" w:themeFill="background1" w:themeFillShade="F2"/>
            <w:noWrap/>
            <w:vAlign w:val="center"/>
            <w:hideMark/>
          </w:tcPr>
          <w:p w14:paraId="566E5532" w14:textId="77777777" w:rsidR="00F53AB2" w:rsidRPr="00E51207" w:rsidRDefault="00F53AB2" w:rsidP="003C3DAA">
            <w:pPr>
              <w:jc w:val="right"/>
              <w:rPr>
                <w:color w:val="000000"/>
                <w:sz w:val="16"/>
                <w:szCs w:val="16"/>
              </w:rPr>
            </w:pPr>
            <w:r w:rsidRPr="00E51207">
              <w:rPr>
                <w:color w:val="000000"/>
                <w:sz w:val="16"/>
                <w:szCs w:val="16"/>
              </w:rPr>
              <w:t>71,05%</w:t>
            </w:r>
          </w:p>
        </w:tc>
        <w:tc>
          <w:tcPr>
            <w:tcW w:w="274" w:type="pct"/>
            <w:shd w:val="clear" w:color="auto" w:fill="auto"/>
            <w:noWrap/>
            <w:vAlign w:val="center"/>
            <w:hideMark/>
          </w:tcPr>
          <w:p w14:paraId="61C750D4" w14:textId="77777777" w:rsidR="00F53AB2" w:rsidRPr="00E51207" w:rsidRDefault="00F53AB2" w:rsidP="003C3DAA">
            <w:pPr>
              <w:jc w:val="center"/>
              <w:rPr>
                <w:color w:val="000000"/>
                <w:sz w:val="16"/>
                <w:szCs w:val="16"/>
              </w:rPr>
            </w:pPr>
            <w:r w:rsidRPr="00E51207">
              <w:rPr>
                <w:color w:val="000000"/>
                <w:sz w:val="16"/>
                <w:szCs w:val="16"/>
              </w:rPr>
              <w:t>29/38</w:t>
            </w:r>
          </w:p>
        </w:tc>
        <w:tc>
          <w:tcPr>
            <w:tcW w:w="274" w:type="pct"/>
            <w:shd w:val="clear" w:color="auto" w:fill="auto"/>
            <w:noWrap/>
            <w:vAlign w:val="center"/>
            <w:hideMark/>
          </w:tcPr>
          <w:p w14:paraId="3674C3E9" w14:textId="77777777" w:rsidR="00F53AB2" w:rsidRPr="00E51207" w:rsidRDefault="00F53AB2" w:rsidP="003C3DAA">
            <w:pPr>
              <w:jc w:val="right"/>
              <w:rPr>
                <w:color w:val="000000"/>
                <w:sz w:val="16"/>
                <w:szCs w:val="16"/>
              </w:rPr>
            </w:pPr>
            <w:r w:rsidRPr="00E51207">
              <w:rPr>
                <w:color w:val="000000"/>
                <w:sz w:val="16"/>
                <w:szCs w:val="16"/>
              </w:rPr>
              <w:t>76,32%</w:t>
            </w:r>
          </w:p>
        </w:tc>
        <w:tc>
          <w:tcPr>
            <w:tcW w:w="274" w:type="pct"/>
            <w:shd w:val="clear" w:color="auto" w:fill="F2F2F2" w:themeFill="background1" w:themeFillShade="F2"/>
            <w:noWrap/>
            <w:vAlign w:val="center"/>
            <w:hideMark/>
          </w:tcPr>
          <w:p w14:paraId="388C94E4" w14:textId="77777777" w:rsidR="00F53AB2" w:rsidRPr="00E51207" w:rsidRDefault="00F53AB2" w:rsidP="003C3DAA">
            <w:pPr>
              <w:jc w:val="center"/>
              <w:rPr>
                <w:color w:val="000000"/>
                <w:sz w:val="16"/>
                <w:szCs w:val="16"/>
              </w:rPr>
            </w:pPr>
            <w:r w:rsidRPr="00E51207">
              <w:rPr>
                <w:color w:val="000000"/>
                <w:sz w:val="16"/>
                <w:szCs w:val="16"/>
              </w:rPr>
              <w:t>35/38</w:t>
            </w:r>
          </w:p>
        </w:tc>
        <w:tc>
          <w:tcPr>
            <w:tcW w:w="274" w:type="pct"/>
            <w:shd w:val="clear" w:color="auto" w:fill="F2F2F2" w:themeFill="background1" w:themeFillShade="F2"/>
            <w:noWrap/>
            <w:vAlign w:val="center"/>
            <w:hideMark/>
          </w:tcPr>
          <w:p w14:paraId="0438C11A" w14:textId="77777777" w:rsidR="00F53AB2" w:rsidRPr="00E51207" w:rsidRDefault="00F53AB2" w:rsidP="003C3DAA">
            <w:pPr>
              <w:jc w:val="right"/>
              <w:rPr>
                <w:color w:val="000000"/>
                <w:sz w:val="16"/>
                <w:szCs w:val="16"/>
              </w:rPr>
            </w:pPr>
            <w:r w:rsidRPr="00E51207">
              <w:rPr>
                <w:color w:val="000000"/>
                <w:sz w:val="16"/>
                <w:szCs w:val="16"/>
              </w:rPr>
              <w:t>92,11%</w:t>
            </w:r>
          </w:p>
        </w:tc>
      </w:tr>
      <w:tr w:rsidR="00F53AB2" w:rsidRPr="007B3AE5" w14:paraId="7447E134" w14:textId="77777777" w:rsidTr="002263D5">
        <w:trPr>
          <w:trHeight w:val="290"/>
        </w:trPr>
        <w:tc>
          <w:tcPr>
            <w:tcW w:w="199" w:type="pct"/>
            <w:shd w:val="clear" w:color="auto" w:fill="auto"/>
            <w:noWrap/>
            <w:vAlign w:val="center"/>
            <w:hideMark/>
          </w:tcPr>
          <w:p w14:paraId="1F5D932E" w14:textId="77777777" w:rsidR="00F53AB2" w:rsidRPr="00E51207" w:rsidRDefault="00F53AB2" w:rsidP="003C3DAA">
            <w:pPr>
              <w:jc w:val="right"/>
              <w:rPr>
                <w:color w:val="000000"/>
                <w:sz w:val="16"/>
                <w:szCs w:val="16"/>
              </w:rPr>
            </w:pPr>
            <w:r w:rsidRPr="00E51207">
              <w:rPr>
                <w:color w:val="000000"/>
                <w:sz w:val="16"/>
                <w:szCs w:val="16"/>
              </w:rPr>
              <w:t>65.</w:t>
            </w:r>
          </w:p>
        </w:tc>
        <w:tc>
          <w:tcPr>
            <w:tcW w:w="2060" w:type="pct"/>
            <w:shd w:val="clear" w:color="auto" w:fill="auto"/>
            <w:noWrap/>
            <w:vAlign w:val="center"/>
            <w:hideMark/>
          </w:tcPr>
          <w:p w14:paraId="63E41A75" w14:textId="77777777" w:rsidR="00F53AB2" w:rsidRPr="00E51207" w:rsidRDefault="00F53AB2" w:rsidP="003C3DAA">
            <w:pPr>
              <w:rPr>
                <w:color w:val="000000"/>
                <w:sz w:val="16"/>
                <w:szCs w:val="16"/>
              </w:rPr>
            </w:pPr>
            <w:r w:rsidRPr="00E51207">
              <w:rPr>
                <w:color w:val="000000"/>
                <w:sz w:val="16"/>
                <w:szCs w:val="16"/>
              </w:rPr>
              <w:t>Agencija za osiguranje u BiH</w:t>
            </w:r>
          </w:p>
        </w:tc>
        <w:tc>
          <w:tcPr>
            <w:tcW w:w="274" w:type="pct"/>
            <w:shd w:val="clear" w:color="auto" w:fill="F2F2F2" w:themeFill="background1" w:themeFillShade="F2"/>
            <w:noWrap/>
            <w:vAlign w:val="center"/>
            <w:hideMark/>
          </w:tcPr>
          <w:p w14:paraId="40D7F709" w14:textId="77777777" w:rsidR="00F53AB2" w:rsidRPr="00E51207" w:rsidRDefault="00F53AB2" w:rsidP="003C3DAA">
            <w:pPr>
              <w:jc w:val="center"/>
              <w:rPr>
                <w:color w:val="000000"/>
                <w:sz w:val="16"/>
                <w:szCs w:val="16"/>
              </w:rPr>
            </w:pPr>
            <w:r w:rsidRPr="00E51207">
              <w:rPr>
                <w:color w:val="000000"/>
                <w:sz w:val="16"/>
                <w:szCs w:val="16"/>
              </w:rPr>
              <w:t>22/38</w:t>
            </w:r>
          </w:p>
        </w:tc>
        <w:tc>
          <w:tcPr>
            <w:tcW w:w="274" w:type="pct"/>
            <w:shd w:val="clear" w:color="auto" w:fill="F2F2F2" w:themeFill="background1" w:themeFillShade="F2"/>
            <w:noWrap/>
            <w:vAlign w:val="center"/>
            <w:hideMark/>
          </w:tcPr>
          <w:p w14:paraId="382CE9C3" w14:textId="77777777" w:rsidR="00F53AB2" w:rsidRPr="00E51207" w:rsidRDefault="00F53AB2" w:rsidP="003C3DAA">
            <w:pPr>
              <w:jc w:val="right"/>
              <w:rPr>
                <w:color w:val="000000"/>
                <w:sz w:val="16"/>
                <w:szCs w:val="16"/>
              </w:rPr>
            </w:pPr>
            <w:r w:rsidRPr="00E51207">
              <w:rPr>
                <w:color w:val="000000"/>
                <w:sz w:val="16"/>
                <w:szCs w:val="16"/>
              </w:rPr>
              <w:t>57,89%</w:t>
            </w:r>
          </w:p>
        </w:tc>
        <w:tc>
          <w:tcPr>
            <w:tcW w:w="274" w:type="pct"/>
            <w:shd w:val="clear" w:color="auto" w:fill="auto"/>
            <w:noWrap/>
            <w:vAlign w:val="center"/>
            <w:hideMark/>
          </w:tcPr>
          <w:p w14:paraId="2E10C159" w14:textId="77777777" w:rsidR="00F53AB2" w:rsidRPr="00E51207" w:rsidRDefault="00F53AB2" w:rsidP="003C3DAA">
            <w:pPr>
              <w:jc w:val="center"/>
              <w:rPr>
                <w:color w:val="000000"/>
                <w:sz w:val="16"/>
                <w:szCs w:val="16"/>
              </w:rPr>
            </w:pPr>
            <w:r w:rsidRPr="00E51207">
              <w:rPr>
                <w:color w:val="000000"/>
                <w:sz w:val="16"/>
                <w:szCs w:val="16"/>
              </w:rPr>
              <w:t>37/38</w:t>
            </w:r>
          </w:p>
        </w:tc>
        <w:tc>
          <w:tcPr>
            <w:tcW w:w="274" w:type="pct"/>
            <w:shd w:val="clear" w:color="auto" w:fill="auto"/>
            <w:noWrap/>
            <w:vAlign w:val="center"/>
            <w:hideMark/>
          </w:tcPr>
          <w:p w14:paraId="53D62F33" w14:textId="77777777" w:rsidR="00F53AB2" w:rsidRPr="00E51207" w:rsidRDefault="00F53AB2" w:rsidP="003C3DAA">
            <w:pPr>
              <w:jc w:val="right"/>
              <w:rPr>
                <w:color w:val="000000"/>
                <w:sz w:val="16"/>
                <w:szCs w:val="16"/>
              </w:rPr>
            </w:pPr>
            <w:r w:rsidRPr="00E51207">
              <w:rPr>
                <w:color w:val="000000"/>
                <w:sz w:val="16"/>
                <w:szCs w:val="16"/>
              </w:rPr>
              <w:t>97,37%</w:t>
            </w:r>
          </w:p>
        </w:tc>
        <w:tc>
          <w:tcPr>
            <w:tcW w:w="274" w:type="pct"/>
            <w:shd w:val="clear" w:color="auto" w:fill="F2F2F2" w:themeFill="background1" w:themeFillShade="F2"/>
            <w:noWrap/>
            <w:vAlign w:val="center"/>
            <w:hideMark/>
          </w:tcPr>
          <w:p w14:paraId="5ADD9663" w14:textId="77777777" w:rsidR="00F53AB2" w:rsidRPr="00E51207" w:rsidRDefault="00F53AB2" w:rsidP="003C3DAA">
            <w:pPr>
              <w:jc w:val="center"/>
              <w:rPr>
                <w:color w:val="000000"/>
                <w:sz w:val="16"/>
                <w:szCs w:val="16"/>
              </w:rPr>
            </w:pPr>
            <w:r w:rsidRPr="00E51207">
              <w:rPr>
                <w:color w:val="000000"/>
                <w:sz w:val="16"/>
                <w:szCs w:val="16"/>
              </w:rPr>
              <w:t>34/38</w:t>
            </w:r>
          </w:p>
        </w:tc>
        <w:tc>
          <w:tcPr>
            <w:tcW w:w="274" w:type="pct"/>
            <w:shd w:val="clear" w:color="auto" w:fill="F2F2F2" w:themeFill="background1" w:themeFillShade="F2"/>
            <w:noWrap/>
            <w:vAlign w:val="center"/>
            <w:hideMark/>
          </w:tcPr>
          <w:p w14:paraId="01DF2C29" w14:textId="77777777" w:rsidR="00F53AB2" w:rsidRPr="00E51207" w:rsidRDefault="00F53AB2" w:rsidP="003C3DAA">
            <w:pPr>
              <w:jc w:val="right"/>
              <w:rPr>
                <w:color w:val="000000"/>
                <w:sz w:val="16"/>
                <w:szCs w:val="16"/>
              </w:rPr>
            </w:pPr>
            <w:r w:rsidRPr="00E51207">
              <w:rPr>
                <w:color w:val="000000"/>
                <w:sz w:val="16"/>
                <w:szCs w:val="16"/>
              </w:rPr>
              <w:t>89,47%</w:t>
            </w:r>
          </w:p>
        </w:tc>
        <w:tc>
          <w:tcPr>
            <w:tcW w:w="274" w:type="pct"/>
            <w:shd w:val="clear" w:color="auto" w:fill="auto"/>
            <w:noWrap/>
            <w:vAlign w:val="center"/>
            <w:hideMark/>
          </w:tcPr>
          <w:p w14:paraId="69ADCC5A" w14:textId="77777777" w:rsidR="00F53AB2" w:rsidRPr="00E51207" w:rsidRDefault="00F53AB2" w:rsidP="003C3DAA">
            <w:pPr>
              <w:jc w:val="center"/>
              <w:rPr>
                <w:color w:val="000000"/>
                <w:sz w:val="16"/>
                <w:szCs w:val="16"/>
              </w:rPr>
            </w:pPr>
            <w:r w:rsidRPr="00E51207">
              <w:rPr>
                <w:color w:val="000000"/>
                <w:sz w:val="16"/>
                <w:szCs w:val="16"/>
              </w:rPr>
              <w:t>31/38</w:t>
            </w:r>
          </w:p>
        </w:tc>
        <w:tc>
          <w:tcPr>
            <w:tcW w:w="274" w:type="pct"/>
            <w:shd w:val="clear" w:color="auto" w:fill="auto"/>
            <w:noWrap/>
            <w:vAlign w:val="center"/>
            <w:hideMark/>
          </w:tcPr>
          <w:p w14:paraId="4B858006" w14:textId="77777777" w:rsidR="00F53AB2" w:rsidRPr="00E51207" w:rsidRDefault="00F53AB2" w:rsidP="003C3DAA">
            <w:pPr>
              <w:jc w:val="right"/>
              <w:rPr>
                <w:color w:val="000000"/>
                <w:sz w:val="16"/>
                <w:szCs w:val="16"/>
              </w:rPr>
            </w:pPr>
            <w:r w:rsidRPr="00E51207">
              <w:rPr>
                <w:color w:val="000000"/>
                <w:sz w:val="16"/>
                <w:szCs w:val="16"/>
              </w:rPr>
              <w:t>81,58%</w:t>
            </w:r>
          </w:p>
        </w:tc>
        <w:tc>
          <w:tcPr>
            <w:tcW w:w="274" w:type="pct"/>
            <w:shd w:val="clear" w:color="auto" w:fill="F2F2F2" w:themeFill="background1" w:themeFillShade="F2"/>
            <w:noWrap/>
            <w:vAlign w:val="center"/>
            <w:hideMark/>
          </w:tcPr>
          <w:p w14:paraId="5B8D432A" w14:textId="77777777" w:rsidR="00F53AB2" w:rsidRPr="00E51207" w:rsidRDefault="00F53AB2" w:rsidP="003C3DAA">
            <w:pPr>
              <w:jc w:val="center"/>
              <w:rPr>
                <w:color w:val="000000"/>
                <w:sz w:val="16"/>
                <w:szCs w:val="16"/>
              </w:rPr>
            </w:pPr>
            <w:r w:rsidRPr="00E51207">
              <w:rPr>
                <w:color w:val="000000"/>
                <w:sz w:val="16"/>
                <w:szCs w:val="16"/>
              </w:rPr>
              <w:t>35/38</w:t>
            </w:r>
          </w:p>
        </w:tc>
        <w:tc>
          <w:tcPr>
            <w:tcW w:w="274" w:type="pct"/>
            <w:shd w:val="clear" w:color="auto" w:fill="F2F2F2" w:themeFill="background1" w:themeFillShade="F2"/>
            <w:noWrap/>
            <w:vAlign w:val="center"/>
            <w:hideMark/>
          </w:tcPr>
          <w:p w14:paraId="55568C0E" w14:textId="77777777" w:rsidR="00F53AB2" w:rsidRPr="00E51207" w:rsidRDefault="00F53AB2" w:rsidP="003C3DAA">
            <w:pPr>
              <w:jc w:val="right"/>
              <w:rPr>
                <w:color w:val="000000"/>
                <w:sz w:val="16"/>
                <w:szCs w:val="16"/>
              </w:rPr>
            </w:pPr>
            <w:r w:rsidRPr="00E51207">
              <w:rPr>
                <w:color w:val="000000"/>
                <w:sz w:val="16"/>
                <w:szCs w:val="16"/>
              </w:rPr>
              <w:t>92,11%</w:t>
            </w:r>
          </w:p>
        </w:tc>
      </w:tr>
      <w:tr w:rsidR="00F53AB2" w:rsidRPr="007B3AE5" w14:paraId="495FF32B" w14:textId="77777777" w:rsidTr="002263D5">
        <w:trPr>
          <w:trHeight w:val="290"/>
        </w:trPr>
        <w:tc>
          <w:tcPr>
            <w:tcW w:w="199" w:type="pct"/>
            <w:shd w:val="clear" w:color="auto" w:fill="auto"/>
            <w:noWrap/>
            <w:vAlign w:val="center"/>
            <w:hideMark/>
          </w:tcPr>
          <w:p w14:paraId="04978C38" w14:textId="77777777" w:rsidR="00F53AB2" w:rsidRPr="00E51207" w:rsidRDefault="00F53AB2" w:rsidP="003C3DAA">
            <w:pPr>
              <w:jc w:val="right"/>
              <w:rPr>
                <w:color w:val="000000"/>
                <w:sz w:val="16"/>
                <w:szCs w:val="16"/>
              </w:rPr>
            </w:pPr>
            <w:r w:rsidRPr="00E51207">
              <w:rPr>
                <w:color w:val="000000"/>
                <w:sz w:val="16"/>
                <w:szCs w:val="16"/>
              </w:rPr>
              <w:t>66.</w:t>
            </w:r>
          </w:p>
        </w:tc>
        <w:tc>
          <w:tcPr>
            <w:tcW w:w="2060" w:type="pct"/>
            <w:shd w:val="clear" w:color="auto" w:fill="auto"/>
            <w:noWrap/>
            <w:vAlign w:val="center"/>
            <w:hideMark/>
          </w:tcPr>
          <w:p w14:paraId="44EAEB6D" w14:textId="77777777" w:rsidR="00F53AB2" w:rsidRPr="00E51207" w:rsidRDefault="00F53AB2" w:rsidP="003C3DAA">
            <w:pPr>
              <w:rPr>
                <w:color w:val="000000"/>
                <w:sz w:val="16"/>
                <w:szCs w:val="16"/>
              </w:rPr>
            </w:pPr>
            <w:r w:rsidRPr="00E51207">
              <w:rPr>
                <w:color w:val="000000"/>
                <w:sz w:val="16"/>
                <w:szCs w:val="16"/>
              </w:rPr>
              <w:t>Agencija za prevenciju korupcije i koordinaciju borbe protiv korupcije BiH</w:t>
            </w:r>
          </w:p>
        </w:tc>
        <w:tc>
          <w:tcPr>
            <w:tcW w:w="274" w:type="pct"/>
            <w:shd w:val="clear" w:color="auto" w:fill="F2F2F2" w:themeFill="background1" w:themeFillShade="F2"/>
            <w:noWrap/>
            <w:vAlign w:val="center"/>
            <w:hideMark/>
          </w:tcPr>
          <w:p w14:paraId="03569F73" w14:textId="77777777" w:rsidR="00F53AB2" w:rsidRPr="00E51207" w:rsidRDefault="00F53AB2" w:rsidP="003C3DAA">
            <w:pPr>
              <w:jc w:val="center"/>
              <w:rPr>
                <w:color w:val="000000"/>
                <w:sz w:val="16"/>
                <w:szCs w:val="16"/>
              </w:rPr>
            </w:pPr>
            <w:r w:rsidRPr="00E51207">
              <w:rPr>
                <w:color w:val="000000"/>
                <w:sz w:val="16"/>
                <w:szCs w:val="16"/>
              </w:rPr>
              <w:t>32/38</w:t>
            </w:r>
          </w:p>
        </w:tc>
        <w:tc>
          <w:tcPr>
            <w:tcW w:w="274" w:type="pct"/>
            <w:shd w:val="clear" w:color="auto" w:fill="F2F2F2" w:themeFill="background1" w:themeFillShade="F2"/>
            <w:noWrap/>
            <w:vAlign w:val="center"/>
            <w:hideMark/>
          </w:tcPr>
          <w:p w14:paraId="2D2FB301" w14:textId="77777777" w:rsidR="00F53AB2" w:rsidRPr="00E51207" w:rsidRDefault="00F53AB2" w:rsidP="003C3DAA">
            <w:pPr>
              <w:jc w:val="right"/>
              <w:rPr>
                <w:color w:val="000000"/>
                <w:sz w:val="16"/>
                <w:szCs w:val="16"/>
              </w:rPr>
            </w:pPr>
            <w:r w:rsidRPr="00E51207">
              <w:rPr>
                <w:color w:val="000000"/>
                <w:sz w:val="16"/>
                <w:szCs w:val="16"/>
              </w:rPr>
              <w:t>84,21%</w:t>
            </w:r>
          </w:p>
        </w:tc>
        <w:tc>
          <w:tcPr>
            <w:tcW w:w="274" w:type="pct"/>
            <w:shd w:val="clear" w:color="auto" w:fill="auto"/>
            <w:noWrap/>
            <w:vAlign w:val="center"/>
            <w:hideMark/>
          </w:tcPr>
          <w:p w14:paraId="19F2F7FF" w14:textId="77777777" w:rsidR="00F53AB2" w:rsidRPr="00E51207" w:rsidRDefault="00F53AB2" w:rsidP="003C3DAA">
            <w:pPr>
              <w:jc w:val="center"/>
              <w:rPr>
                <w:color w:val="000000"/>
                <w:sz w:val="16"/>
                <w:szCs w:val="16"/>
              </w:rPr>
            </w:pPr>
            <w:r w:rsidRPr="00E51207">
              <w:rPr>
                <w:color w:val="000000"/>
                <w:sz w:val="16"/>
                <w:szCs w:val="16"/>
              </w:rPr>
              <w:t>34/38</w:t>
            </w:r>
          </w:p>
        </w:tc>
        <w:tc>
          <w:tcPr>
            <w:tcW w:w="274" w:type="pct"/>
            <w:shd w:val="clear" w:color="auto" w:fill="auto"/>
            <w:noWrap/>
            <w:vAlign w:val="center"/>
            <w:hideMark/>
          </w:tcPr>
          <w:p w14:paraId="1920A1D1" w14:textId="77777777" w:rsidR="00F53AB2" w:rsidRPr="00E51207" w:rsidRDefault="00F53AB2" w:rsidP="003C3DAA">
            <w:pPr>
              <w:jc w:val="right"/>
              <w:rPr>
                <w:color w:val="000000"/>
                <w:sz w:val="16"/>
                <w:szCs w:val="16"/>
              </w:rPr>
            </w:pPr>
            <w:r w:rsidRPr="00E51207">
              <w:rPr>
                <w:color w:val="000000"/>
                <w:sz w:val="16"/>
                <w:szCs w:val="16"/>
              </w:rPr>
              <w:t>89,47%</w:t>
            </w:r>
          </w:p>
        </w:tc>
        <w:tc>
          <w:tcPr>
            <w:tcW w:w="274" w:type="pct"/>
            <w:shd w:val="clear" w:color="auto" w:fill="F2F2F2" w:themeFill="background1" w:themeFillShade="F2"/>
            <w:noWrap/>
            <w:vAlign w:val="center"/>
            <w:hideMark/>
          </w:tcPr>
          <w:p w14:paraId="13ECA0E6" w14:textId="77777777" w:rsidR="00F53AB2" w:rsidRPr="00E51207" w:rsidRDefault="00F53AB2" w:rsidP="003C3DAA">
            <w:pPr>
              <w:jc w:val="center"/>
              <w:rPr>
                <w:color w:val="000000"/>
                <w:sz w:val="16"/>
                <w:szCs w:val="16"/>
              </w:rPr>
            </w:pPr>
            <w:r w:rsidRPr="00E51207">
              <w:rPr>
                <w:color w:val="000000"/>
                <w:sz w:val="16"/>
                <w:szCs w:val="16"/>
              </w:rPr>
              <w:t>34/38</w:t>
            </w:r>
          </w:p>
        </w:tc>
        <w:tc>
          <w:tcPr>
            <w:tcW w:w="274" w:type="pct"/>
            <w:shd w:val="clear" w:color="auto" w:fill="F2F2F2" w:themeFill="background1" w:themeFillShade="F2"/>
            <w:noWrap/>
            <w:vAlign w:val="center"/>
            <w:hideMark/>
          </w:tcPr>
          <w:p w14:paraId="77E56673" w14:textId="77777777" w:rsidR="00F53AB2" w:rsidRPr="00E51207" w:rsidRDefault="00F53AB2" w:rsidP="003C3DAA">
            <w:pPr>
              <w:jc w:val="right"/>
              <w:rPr>
                <w:color w:val="000000"/>
                <w:sz w:val="16"/>
                <w:szCs w:val="16"/>
              </w:rPr>
            </w:pPr>
            <w:r w:rsidRPr="00E51207">
              <w:rPr>
                <w:color w:val="000000"/>
                <w:sz w:val="16"/>
                <w:szCs w:val="16"/>
              </w:rPr>
              <w:t>89,47%</w:t>
            </w:r>
          </w:p>
        </w:tc>
        <w:tc>
          <w:tcPr>
            <w:tcW w:w="274" w:type="pct"/>
            <w:shd w:val="clear" w:color="auto" w:fill="auto"/>
            <w:noWrap/>
            <w:vAlign w:val="center"/>
            <w:hideMark/>
          </w:tcPr>
          <w:p w14:paraId="3698543F" w14:textId="77777777" w:rsidR="00F53AB2" w:rsidRPr="00E51207" w:rsidRDefault="00F53AB2" w:rsidP="003C3DAA">
            <w:pPr>
              <w:jc w:val="center"/>
              <w:rPr>
                <w:color w:val="000000"/>
                <w:sz w:val="16"/>
                <w:szCs w:val="16"/>
              </w:rPr>
            </w:pPr>
            <w:r w:rsidRPr="00E51207">
              <w:rPr>
                <w:color w:val="000000"/>
                <w:sz w:val="16"/>
                <w:szCs w:val="16"/>
              </w:rPr>
              <w:t>34/38</w:t>
            </w:r>
          </w:p>
        </w:tc>
        <w:tc>
          <w:tcPr>
            <w:tcW w:w="274" w:type="pct"/>
            <w:shd w:val="clear" w:color="auto" w:fill="auto"/>
            <w:noWrap/>
            <w:vAlign w:val="center"/>
            <w:hideMark/>
          </w:tcPr>
          <w:p w14:paraId="0CE4C224" w14:textId="77777777" w:rsidR="00F53AB2" w:rsidRPr="00E51207" w:rsidRDefault="00F53AB2" w:rsidP="003C3DAA">
            <w:pPr>
              <w:jc w:val="right"/>
              <w:rPr>
                <w:color w:val="000000"/>
                <w:sz w:val="16"/>
                <w:szCs w:val="16"/>
              </w:rPr>
            </w:pPr>
            <w:r w:rsidRPr="00E51207">
              <w:rPr>
                <w:color w:val="000000"/>
                <w:sz w:val="16"/>
                <w:szCs w:val="16"/>
              </w:rPr>
              <w:t>89,47%</w:t>
            </w:r>
          </w:p>
        </w:tc>
        <w:tc>
          <w:tcPr>
            <w:tcW w:w="274" w:type="pct"/>
            <w:shd w:val="clear" w:color="auto" w:fill="F2F2F2" w:themeFill="background1" w:themeFillShade="F2"/>
            <w:noWrap/>
            <w:vAlign w:val="center"/>
            <w:hideMark/>
          </w:tcPr>
          <w:p w14:paraId="3EF89CF8" w14:textId="77777777" w:rsidR="00F53AB2" w:rsidRPr="00E51207" w:rsidRDefault="00F53AB2" w:rsidP="003C3DAA">
            <w:pPr>
              <w:jc w:val="center"/>
              <w:rPr>
                <w:color w:val="000000"/>
                <w:sz w:val="16"/>
                <w:szCs w:val="16"/>
              </w:rPr>
            </w:pPr>
            <w:r w:rsidRPr="00E51207">
              <w:rPr>
                <w:color w:val="000000"/>
                <w:sz w:val="16"/>
                <w:szCs w:val="16"/>
              </w:rPr>
              <w:t>35/38</w:t>
            </w:r>
          </w:p>
        </w:tc>
        <w:tc>
          <w:tcPr>
            <w:tcW w:w="274" w:type="pct"/>
            <w:shd w:val="clear" w:color="auto" w:fill="F2F2F2" w:themeFill="background1" w:themeFillShade="F2"/>
            <w:noWrap/>
            <w:vAlign w:val="center"/>
            <w:hideMark/>
          </w:tcPr>
          <w:p w14:paraId="62AAB148" w14:textId="77777777" w:rsidR="00F53AB2" w:rsidRPr="00E51207" w:rsidRDefault="00F53AB2" w:rsidP="003C3DAA">
            <w:pPr>
              <w:jc w:val="right"/>
              <w:rPr>
                <w:color w:val="000000"/>
                <w:sz w:val="16"/>
                <w:szCs w:val="16"/>
              </w:rPr>
            </w:pPr>
            <w:r w:rsidRPr="00E51207">
              <w:rPr>
                <w:color w:val="000000"/>
                <w:sz w:val="16"/>
                <w:szCs w:val="16"/>
              </w:rPr>
              <w:t>92,11%</w:t>
            </w:r>
          </w:p>
        </w:tc>
      </w:tr>
      <w:tr w:rsidR="00F53AB2" w:rsidRPr="007B3AE5" w14:paraId="13D72DA4" w14:textId="77777777" w:rsidTr="002263D5">
        <w:trPr>
          <w:trHeight w:val="290"/>
        </w:trPr>
        <w:tc>
          <w:tcPr>
            <w:tcW w:w="199" w:type="pct"/>
            <w:shd w:val="clear" w:color="auto" w:fill="auto"/>
            <w:noWrap/>
            <w:vAlign w:val="center"/>
            <w:hideMark/>
          </w:tcPr>
          <w:p w14:paraId="01009490" w14:textId="77777777" w:rsidR="00F53AB2" w:rsidRPr="00E51207" w:rsidRDefault="00F53AB2" w:rsidP="003C3DAA">
            <w:pPr>
              <w:jc w:val="right"/>
              <w:rPr>
                <w:color w:val="000000"/>
                <w:sz w:val="16"/>
                <w:szCs w:val="16"/>
              </w:rPr>
            </w:pPr>
            <w:r w:rsidRPr="00E51207">
              <w:rPr>
                <w:color w:val="000000"/>
                <w:sz w:val="16"/>
                <w:szCs w:val="16"/>
              </w:rPr>
              <w:t>67.</w:t>
            </w:r>
          </w:p>
        </w:tc>
        <w:tc>
          <w:tcPr>
            <w:tcW w:w="2060" w:type="pct"/>
            <w:shd w:val="clear" w:color="auto" w:fill="auto"/>
            <w:noWrap/>
            <w:vAlign w:val="center"/>
            <w:hideMark/>
          </w:tcPr>
          <w:p w14:paraId="0E5006EC" w14:textId="77777777" w:rsidR="00F53AB2" w:rsidRPr="00E51207" w:rsidRDefault="00F53AB2" w:rsidP="003C3DAA">
            <w:pPr>
              <w:rPr>
                <w:color w:val="000000"/>
                <w:sz w:val="16"/>
                <w:szCs w:val="16"/>
              </w:rPr>
            </w:pPr>
            <w:r w:rsidRPr="00E51207">
              <w:rPr>
                <w:color w:val="000000"/>
                <w:sz w:val="16"/>
                <w:szCs w:val="16"/>
              </w:rPr>
              <w:t>Agencija za školovanje i stručno usavršavanje kadrova BiH</w:t>
            </w:r>
          </w:p>
        </w:tc>
        <w:tc>
          <w:tcPr>
            <w:tcW w:w="274" w:type="pct"/>
            <w:shd w:val="clear" w:color="auto" w:fill="F2F2F2" w:themeFill="background1" w:themeFillShade="F2"/>
            <w:noWrap/>
            <w:vAlign w:val="center"/>
            <w:hideMark/>
          </w:tcPr>
          <w:p w14:paraId="2F263E77"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69371915"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01CA2585" w14:textId="77777777" w:rsidR="00F53AB2" w:rsidRPr="00E51207" w:rsidRDefault="00F53AB2" w:rsidP="003C3DAA">
            <w:pPr>
              <w:jc w:val="center"/>
              <w:rPr>
                <w:color w:val="000000"/>
                <w:sz w:val="16"/>
                <w:szCs w:val="16"/>
              </w:rPr>
            </w:pPr>
            <w:r w:rsidRPr="00E51207">
              <w:rPr>
                <w:color w:val="000000"/>
                <w:sz w:val="16"/>
                <w:szCs w:val="16"/>
              </w:rPr>
              <w:t>29/38</w:t>
            </w:r>
          </w:p>
        </w:tc>
        <w:tc>
          <w:tcPr>
            <w:tcW w:w="274" w:type="pct"/>
            <w:shd w:val="clear" w:color="auto" w:fill="auto"/>
            <w:noWrap/>
            <w:vAlign w:val="center"/>
            <w:hideMark/>
          </w:tcPr>
          <w:p w14:paraId="430E03E2" w14:textId="77777777" w:rsidR="00F53AB2" w:rsidRPr="00E51207" w:rsidRDefault="00F53AB2" w:rsidP="003C3DAA">
            <w:pPr>
              <w:jc w:val="right"/>
              <w:rPr>
                <w:color w:val="000000"/>
                <w:sz w:val="16"/>
                <w:szCs w:val="16"/>
              </w:rPr>
            </w:pPr>
            <w:r w:rsidRPr="00E51207">
              <w:rPr>
                <w:color w:val="000000"/>
                <w:sz w:val="16"/>
                <w:szCs w:val="16"/>
              </w:rPr>
              <w:t>76,32%</w:t>
            </w:r>
          </w:p>
        </w:tc>
        <w:tc>
          <w:tcPr>
            <w:tcW w:w="274" w:type="pct"/>
            <w:shd w:val="clear" w:color="auto" w:fill="F2F2F2" w:themeFill="background1" w:themeFillShade="F2"/>
            <w:noWrap/>
            <w:vAlign w:val="center"/>
            <w:hideMark/>
          </w:tcPr>
          <w:p w14:paraId="0BB7C129" w14:textId="77777777" w:rsidR="00F53AB2" w:rsidRPr="00E51207" w:rsidRDefault="00F53AB2" w:rsidP="003C3DAA">
            <w:pPr>
              <w:jc w:val="center"/>
              <w:rPr>
                <w:color w:val="000000"/>
                <w:sz w:val="16"/>
                <w:szCs w:val="16"/>
              </w:rPr>
            </w:pPr>
            <w:r w:rsidRPr="00E51207">
              <w:rPr>
                <w:color w:val="000000"/>
                <w:sz w:val="16"/>
                <w:szCs w:val="16"/>
              </w:rPr>
              <w:t>33/38</w:t>
            </w:r>
          </w:p>
        </w:tc>
        <w:tc>
          <w:tcPr>
            <w:tcW w:w="274" w:type="pct"/>
            <w:shd w:val="clear" w:color="auto" w:fill="F2F2F2" w:themeFill="background1" w:themeFillShade="F2"/>
            <w:noWrap/>
            <w:vAlign w:val="center"/>
            <w:hideMark/>
          </w:tcPr>
          <w:p w14:paraId="2379F406" w14:textId="77777777" w:rsidR="00F53AB2" w:rsidRPr="00E51207" w:rsidRDefault="00F53AB2" w:rsidP="003C3DAA">
            <w:pPr>
              <w:jc w:val="right"/>
              <w:rPr>
                <w:color w:val="000000"/>
                <w:sz w:val="16"/>
                <w:szCs w:val="16"/>
              </w:rPr>
            </w:pPr>
            <w:r w:rsidRPr="00E51207">
              <w:rPr>
                <w:color w:val="000000"/>
                <w:sz w:val="16"/>
                <w:szCs w:val="16"/>
              </w:rPr>
              <w:t>86,84%</w:t>
            </w:r>
          </w:p>
        </w:tc>
        <w:tc>
          <w:tcPr>
            <w:tcW w:w="274" w:type="pct"/>
            <w:shd w:val="clear" w:color="auto" w:fill="auto"/>
            <w:noWrap/>
            <w:vAlign w:val="center"/>
            <w:hideMark/>
          </w:tcPr>
          <w:p w14:paraId="18935184" w14:textId="77777777" w:rsidR="00F53AB2" w:rsidRPr="00E51207" w:rsidRDefault="00F53AB2" w:rsidP="003C3DAA">
            <w:pPr>
              <w:jc w:val="center"/>
              <w:rPr>
                <w:color w:val="000000"/>
                <w:sz w:val="16"/>
                <w:szCs w:val="16"/>
              </w:rPr>
            </w:pPr>
            <w:r w:rsidRPr="00E51207">
              <w:rPr>
                <w:color w:val="000000"/>
                <w:sz w:val="16"/>
                <w:szCs w:val="16"/>
              </w:rPr>
              <w:t>34/38</w:t>
            </w:r>
          </w:p>
        </w:tc>
        <w:tc>
          <w:tcPr>
            <w:tcW w:w="274" w:type="pct"/>
            <w:shd w:val="clear" w:color="auto" w:fill="auto"/>
            <w:noWrap/>
            <w:vAlign w:val="center"/>
            <w:hideMark/>
          </w:tcPr>
          <w:p w14:paraId="66AAE56E" w14:textId="77777777" w:rsidR="00F53AB2" w:rsidRPr="00E51207" w:rsidRDefault="00F53AB2" w:rsidP="003C3DAA">
            <w:pPr>
              <w:jc w:val="right"/>
              <w:rPr>
                <w:color w:val="000000"/>
                <w:sz w:val="16"/>
                <w:szCs w:val="16"/>
              </w:rPr>
            </w:pPr>
            <w:r w:rsidRPr="00E51207">
              <w:rPr>
                <w:color w:val="000000"/>
                <w:sz w:val="16"/>
                <w:szCs w:val="16"/>
              </w:rPr>
              <w:t>89,47%</w:t>
            </w:r>
          </w:p>
        </w:tc>
        <w:tc>
          <w:tcPr>
            <w:tcW w:w="274" w:type="pct"/>
            <w:shd w:val="clear" w:color="auto" w:fill="F2F2F2" w:themeFill="background1" w:themeFillShade="F2"/>
            <w:noWrap/>
            <w:vAlign w:val="center"/>
            <w:hideMark/>
          </w:tcPr>
          <w:p w14:paraId="45309ACE" w14:textId="77777777" w:rsidR="00F53AB2" w:rsidRPr="00E51207" w:rsidRDefault="00F53AB2" w:rsidP="003C3DAA">
            <w:pPr>
              <w:jc w:val="center"/>
              <w:rPr>
                <w:color w:val="000000"/>
                <w:sz w:val="16"/>
                <w:szCs w:val="16"/>
              </w:rPr>
            </w:pPr>
            <w:r w:rsidRPr="00E51207">
              <w:rPr>
                <w:color w:val="000000"/>
                <w:sz w:val="16"/>
                <w:szCs w:val="16"/>
              </w:rPr>
              <w:t>35/38</w:t>
            </w:r>
          </w:p>
        </w:tc>
        <w:tc>
          <w:tcPr>
            <w:tcW w:w="274" w:type="pct"/>
            <w:shd w:val="clear" w:color="auto" w:fill="F2F2F2" w:themeFill="background1" w:themeFillShade="F2"/>
            <w:noWrap/>
            <w:vAlign w:val="center"/>
            <w:hideMark/>
          </w:tcPr>
          <w:p w14:paraId="74AFB59D" w14:textId="77777777" w:rsidR="00F53AB2" w:rsidRPr="00E51207" w:rsidRDefault="00F53AB2" w:rsidP="003C3DAA">
            <w:pPr>
              <w:jc w:val="right"/>
              <w:rPr>
                <w:color w:val="000000"/>
                <w:sz w:val="16"/>
                <w:szCs w:val="16"/>
              </w:rPr>
            </w:pPr>
            <w:r w:rsidRPr="00E51207">
              <w:rPr>
                <w:color w:val="000000"/>
                <w:sz w:val="16"/>
                <w:szCs w:val="16"/>
              </w:rPr>
              <w:t>92,11%</w:t>
            </w:r>
          </w:p>
        </w:tc>
      </w:tr>
      <w:tr w:rsidR="00F53AB2" w:rsidRPr="007B3AE5" w14:paraId="45A8A4EE" w14:textId="77777777" w:rsidTr="002263D5">
        <w:trPr>
          <w:trHeight w:val="290"/>
        </w:trPr>
        <w:tc>
          <w:tcPr>
            <w:tcW w:w="199" w:type="pct"/>
            <w:shd w:val="clear" w:color="auto" w:fill="auto"/>
            <w:noWrap/>
            <w:vAlign w:val="center"/>
            <w:hideMark/>
          </w:tcPr>
          <w:p w14:paraId="40FEABBE" w14:textId="77777777" w:rsidR="00F53AB2" w:rsidRPr="00E51207" w:rsidRDefault="00F53AB2" w:rsidP="003C3DAA">
            <w:pPr>
              <w:jc w:val="right"/>
              <w:rPr>
                <w:color w:val="000000"/>
                <w:sz w:val="16"/>
                <w:szCs w:val="16"/>
              </w:rPr>
            </w:pPr>
            <w:r w:rsidRPr="00E51207">
              <w:rPr>
                <w:color w:val="000000"/>
                <w:sz w:val="16"/>
                <w:szCs w:val="16"/>
              </w:rPr>
              <w:t>68.</w:t>
            </w:r>
          </w:p>
        </w:tc>
        <w:tc>
          <w:tcPr>
            <w:tcW w:w="2060" w:type="pct"/>
            <w:shd w:val="clear" w:color="auto" w:fill="auto"/>
            <w:noWrap/>
            <w:vAlign w:val="center"/>
            <w:hideMark/>
          </w:tcPr>
          <w:p w14:paraId="050F7696" w14:textId="77777777" w:rsidR="00F53AB2" w:rsidRPr="00E51207" w:rsidRDefault="00F53AB2" w:rsidP="003C3DAA">
            <w:pPr>
              <w:rPr>
                <w:color w:val="000000"/>
                <w:sz w:val="16"/>
                <w:szCs w:val="16"/>
              </w:rPr>
            </w:pPr>
            <w:r w:rsidRPr="00E51207">
              <w:rPr>
                <w:color w:val="000000"/>
                <w:sz w:val="16"/>
                <w:szCs w:val="16"/>
              </w:rPr>
              <w:t>Generalni sekretarijat Vijeća ministara BiH</w:t>
            </w:r>
          </w:p>
        </w:tc>
        <w:tc>
          <w:tcPr>
            <w:tcW w:w="274" w:type="pct"/>
            <w:shd w:val="clear" w:color="auto" w:fill="F2F2F2" w:themeFill="background1" w:themeFillShade="F2"/>
            <w:noWrap/>
            <w:vAlign w:val="center"/>
            <w:hideMark/>
          </w:tcPr>
          <w:p w14:paraId="3D4514CF" w14:textId="77777777" w:rsidR="00F53AB2" w:rsidRPr="00E51207" w:rsidRDefault="00F53AB2" w:rsidP="003C3DAA">
            <w:pPr>
              <w:jc w:val="center"/>
              <w:rPr>
                <w:color w:val="000000"/>
                <w:sz w:val="16"/>
                <w:szCs w:val="16"/>
              </w:rPr>
            </w:pPr>
            <w:r w:rsidRPr="00E51207">
              <w:rPr>
                <w:color w:val="000000"/>
                <w:sz w:val="16"/>
                <w:szCs w:val="16"/>
              </w:rPr>
              <w:t>28/38</w:t>
            </w:r>
          </w:p>
        </w:tc>
        <w:tc>
          <w:tcPr>
            <w:tcW w:w="274" w:type="pct"/>
            <w:shd w:val="clear" w:color="auto" w:fill="F2F2F2" w:themeFill="background1" w:themeFillShade="F2"/>
            <w:noWrap/>
            <w:vAlign w:val="center"/>
            <w:hideMark/>
          </w:tcPr>
          <w:p w14:paraId="1E3C2B82" w14:textId="77777777" w:rsidR="00F53AB2" w:rsidRPr="00E51207" w:rsidRDefault="00F53AB2" w:rsidP="003C3DAA">
            <w:pPr>
              <w:jc w:val="right"/>
              <w:rPr>
                <w:color w:val="000000"/>
                <w:sz w:val="16"/>
                <w:szCs w:val="16"/>
              </w:rPr>
            </w:pPr>
            <w:r w:rsidRPr="00E51207">
              <w:rPr>
                <w:color w:val="000000"/>
                <w:sz w:val="16"/>
                <w:szCs w:val="16"/>
              </w:rPr>
              <w:t>73,68%</w:t>
            </w:r>
          </w:p>
        </w:tc>
        <w:tc>
          <w:tcPr>
            <w:tcW w:w="274" w:type="pct"/>
            <w:shd w:val="clear" w:color="auto" w:fill="auto"/>
            <w:noWrap/>
            <w:vAlign w:val="center"/>
            <w:hideMark/>
          </w:tcPr>
          <w:p w14:paraId="055DD9B2" w14:textId="77777777" w:rsidR="00F53AB2" w:rsidRPr="00E51207" w:rsidRDefault="00F53AB2" w:rsidP="003C3DAA">
            <w:pPr>
              <w:jc w:val="center"/>
              <w:rPr>
                <w:color w:val="000000"/>
                <w:sz w:val="16"/>
                <w:szCs w:val="16"/>
              </w:rPr>
            </w:pPr>
            <w:r w:rsidRPr="00E51207">
              <w:rPr>
                <w:color w:val="000000"/>
                <w:sz w:val="16"/>
                <w:szCs w:val="16"/>
              </w:rPr>
              <w:t>32/38</w:t>
            </w:r>
          </w:p>
        </w:tc>
        <w:tc>
          <w:tcPr>
            <w:tcW w:w="274" w:type="pct"/>
            <w:shd w:val="clear" w:color="auto" w:fill="auto"/>
            <w:noWrap/>
            <w:vAlign w:val="center"/>
            <w:hideMark/>
          </w:tcPr>
          <w:p w14:paraId="7C752F5E" w14:textId="77777777" w:rsidR="00F53AB2" w:rsidRPr="00E51207" w:rsidRDefault="00F53AB2" w:rsidP="003C3DAA">
            <w:pPr>
              <w:jc w:val="right"/>
              <w:rPr>
                <w:color w:val="000000"/>
                <w:sz w:val="16"/>
                <w:szCs w:val="16"/>
              </w:rPr>
            </w:pPr>
            <w:r w:rsidRPr="00E51207">
              <w:rPr>
                <w:color w:val="000000"/>
                <w:sz w:val="16"/>
                <w:szCs w:val="16"/>
              </w:rPr>
              <w:t>84,21%</w:t>
            </w:r>
          </w:p>
        </w:tc>
        <w:tc>
          <w:tcPr>
            <w:tcW w:w="274" w:type="pct"/>
            <w:shd w:val="clear" w:color="auto" w:fill="F2F2F2" w:themeFill="background1" w:themeFillShade="F2"/>
            <w:noWrap/>
            <w:vAlign w:val="center"/>
            <w:hideMark/>
          </w:tcPr>
          <w:p w14:paraId="36A721B5" w14:textId="77777777" w:rsidR="00F53AB2" w:rsidRPr="00E51207" w:rsidRDefault="00F53AB2" w:rsidP="003C3DAA">
            <w:pPr>
              <w:jc w:val="center"/>
              <w:rPr>
                <w:color w:val="000000"/>
                <w:sz w:val="16"/>
                <w:szCs w:val="16"/>
              </w:rPr>
            </w:pPr>
            <w:r w:rsidRPr="00E51207">
              <w:rPr>
                <w:color w:val="000000"/>
                <w:sz w:val="16"/>
                <w:szCs w:val="16"/>
              </w:rPr>
              <w:t>32/38</w:t>
            </w:r>
          </w:p>
        </w:tc>
        <w:tc>
          <w:tcPr>
            <w:tcW w:w="274" w:type="pct"/>
            <w:shd w:val="clear" w:color="auto" w:fill="F2F2F2" w:themeFill="background1" w:themeFillShade="F2"/>
            <w:noWrap/>
            <w:vAlign w:val="center"/>
            <w:hideMark/>
          </w:tcPr>
          <w:p w14:paraId="44C500A2" w14:textId="77777777" w:rsidR="00F53AB2" w:rsidRPr="00E51207" w:rsidRDefault="00F53AB2" w:rsidP="003C3DAA">
            <w:pPr>
              <w:jc w:val="right"/>
              <w:rPr>
                <w:color w:val="000000"/>
                <w:sz w:val="16"/>
                <w:szCs w:val="16"/>
              </w:rPr>
            </w:pPr>
            <w:r w:rsidRPr="00E51207">
              <w:rPr>
                <w:color w:val="000000"/>
                <w:sz w:val="16"/>
                <w:szCs w:val="16"/>
              </w:rPr>
              <w:t>84,21%</w:t>
            </w:r>
          </w:p>
        </w:tc>
        <w:tc>
          <w:tcPr>
            <w:tcW w:w="274" w:type="pct"/>
            <w:shd w:val="clear" w:color="auto" w:fill="auto"/>
            <w:noWrap/>
            <w:vAlign w:val="center"/>
            <w:hideMark/>
          </w:tcPr>
          <w:p w14:paraId="54B6258F" w14:textId="77777777" w:rsidR="00F53AB2" w:rsidRPr="00E51207" w:rsidRDefault="00F53AB2" w:rsidP="003C3DAA">
            <w:pPr>
              <w:jc w:val="center"/>
              <w:rPr>
                <w:color w:val="000000"/>
                <w:sz w:val="16"/>
                <w:szCs w:val="16"/>
              </w:rPr>
            </w:pPr>
            <w:r w:rsidRPr="00E51207">
              <w:rPr>
                <w:color w:val="000000"/>
                <w:sz w:val="16"/>
                <w:szCs w:val="16"/>
              </w:rPr>
              <w:t>35/38</w:t>
            </w:r>
          </w:p>
        </w:tc>
        <w:tc>
          <w:tcPr>
            <w:tcW w:w="274" w:type="pct"/>
            <w:shd w:val="clear" w:color="auto" w:fill="auto"/>
            <w:noWrap/>
            <w:vAlign w:val="center"/>
            <w:hideMark/>
          </w:tcPr>
          <w:p w14:paraId="6ACBCF90" w14:textId="77777777" w:rsidR="00F53AB2" w:rsidRPr="00E51207" w:rsidRDefault="00F53AB2" w:rsidP="003C3DAA">
            <w:pPr>
              <w:jc w:val="right"/>
              <w:rPr>
                <w:color w:val="000000"/>
                <w:sz w:val="16"/>
                <w:szCs w:val="16"/>
              </w:rPr>
            </w:pPr>
            <w:r w:rsidRPr="00E51207">
              <w:rPr>
                <w:color w:val="000000"/>
                <w:sz w:val="16"/>
                <w:szCs w:val="16"/>
              </w:rPr>
              <w:t>92,11%</w:t>
            </w:r>
          </w:p>
        </w:tc>
        <w:tc>
          <w:tcPr>
            <w:tcW w:w="274" w:type="pct"/>
            <w:shd w:val="clear" w:color="auto" w:fill="F2F2F2" w:themeFill="background1" w:themeFillShade="F2"/>
            <w:noWrap/>
            <w:vAlign w:val="center"/>
            <w:hideMark/>
          </w:tcPr>
          <w:p w14:paraId="27E6C7BE" w14:textId="77777777" w:rsidR="00F53AB2" w:rsidRPr="00E51207" w:rsidRDefault="00F53AB2" w:rsidP="003C3DAA">
            <w:pPr>
              <w:jc w:val="center"/>
              <w:rPr>
                <w:color w:val="000000"/>
                <w:sz w:val="16"/>
                <w:szCs w:val="16"/>
              </w:rPr>
            </w:pPr>
            <w:r w:rsidRPr="00E51207">
              <w:rPr>
                <w:color w:val="000000"/>
                <w:sz w:val="16"/>
                <w:szCs w:val="16"/>
              </w:rPr>
              <w:t>35/38</w:t>
            </w:r>
          </w:p>
        </w:tc>
        <w:tc>
          <w:tcPr>
            <w:tcW w:w="274" w:type="pct"/>
            <w:shd w:val="clear" w:color="auto" w:fill="F2F2F2" w:themeFill="background1" w:themeFillShade="F2"/>
            <w:noWrap/>
            <w:vAlign w:val="center"/>
            <w:hideMark/>
          </w:tcPr>
          <w:p w14:paraId="5B898463" w14:textId="77777777" w:rsidR="00F53AB2" w:rsidRPr="00E51207" w:rsidRDefault="00F53AB2" w:rsidP="003C3DAA">
            <w:pPr>
              <w:jc w:val="right"/>
              <w:rPr>
                <w:color w:val="000000"/>
                <w:sz w:val="16"/>
                <w:szCs w:val="16"/>
              </w:rPr>
            </w:pPr>
            <w:r w:rsidRPr="00E51207">
              <w:rPr>
                <w:color w:val="000000"/>
                <w:sz w:val="16"/>
                <w:szCs w:val="16"/>
              </w:rPr>
              <w:t>92,11%</w:t>
            </w:r>
          </w:p>
        </w:tc>
      </w:tr>
      <w:tr w:rsidR="00F53AB2" w:rsidRPr="007B3AE5" w14:paraId="7D524695" w14:textId="77777777" w:rsidTr="002263D5">
        <w:trPr>
          <w:trHeight w:val="290"/>
        </w:trPr>
        <w:tc>
          <w:tcPr>
            <w:tcW w:w="199" w:type="pct"/>
            <w:shd w:val="clear" w:color="auto" w:fill="auto"/>
            <w:noWrap/>
            <w:vAlign w:val="center"/>
            <w:hideMark/>
          </w:tcPr>
          <w:p w14:paraId="71CC0591" w14:textId="77777777" w:rsidR="00F53AB2" w:rsidRPr="00E51207" w:rsidRDefault="00F53AB2" w:rsidP="003C3DAA">
            <w:pPr>
              <w:jc w:val="right"/>
              <w:rPr>
                <w:color w:val="000000"/>
                <w:sz w:val="16"/>
                <w:szCs w:val="16"/>
              </w:rPr>
            </w:pPr>
            <w:r w:rsidRPr="00E51207">
              <w:rPr>
                <w:color w:val="000000"/>
                <w:sz w:val="16"/>
                <w:szCs w:val="16"/>
              </w:rPr>
              <w:t>69.</w:t>
            </w:r>
          </w:p>
        </w:tc>
        <w:tc>
          <w:tcPr>
            <w:tcW w:w="2060" w:type="pct"/>
            <w:shd w:val="clear" w:color="auto" w:fill="auto"/>
            <w:noWrap/>
            <w:vAlign w:val="center"/>
            <w:hideMark/>
          </w:tcPr>
          <w:p w14:paraId="3AFE73FA" w14:textId="77777777" w:rsidR="00F53AB2" w:rsidRPr="00E51207" w:rsidRDefault="00F53AB2" w:rsidP="003C3DAA">
            <w:pPr>
              <w:rPr>
                <w:color w:val="000000"/>
                <w:sz w:val="16"/>
                <w:szCs w:val="16"/>
              </w:rPr>
            </w:pPr>
            <w:r w:rsidRPr="00E51207">
              <w:rPr>
                <w:color w:val="000000"/>
                <w:sz w:val="16"/>
                <w:szCs w:val="16"/>
              </w:rPr>
              <w:t>Ministarstvo za ljudska prava i izbjeglice BiH</w:t>
            </w:r>
          </w:p>
        </w:tc>
        <w:tc>
          <w:tcPr>
            <w:tcW w:w="274" w:type="pct"/>
            <w:shd w:val="clear" w:color="auto" w:fill="F2F2F2" w:themeFill="background1" w:themeFillShade="F2"/>
            <w:noWrap/>
            <w:vAlign w:val="center"/>
            <w:hideMark/>
          </w:tcPr>
          <w:p w14:paraId="4EB411AA" w14:textId="77777777" w:rsidR="00F53AB2" w:rsidRPr="00E51207" w:rsidRDefault="00F53AB2" w:rsidP="003C3DAA">
            <w:pPr>
              <w:jc w:val="center"/>
              <w:rPr>
                <w:color w:val="000000"/>
                <w:sz w:val="16"/>
                <w:szCs w:val="16"/>
              </w:rPr>
            </w:pPr>
            <w:r w:rsidRPr="00E51207">
              <w:rPr>
                <w:color w:val="000000"/>
                <w:sz w:val="16"/>
                <w:szCs w:val="16"/>
              </w:rPr>
              <w:t>36/38</w:t>
            </w:r>
          </w:p>
        </w:tc>
        <w:tc>
          <w:tcPr>
            <w:tcW w:w="274" w:type="pct"/>
            <w:shd w:val="clear" w:color="auto" w:fill="F2F2F2" w:themeFill="background1" w:themeFillShade="F2"/>
            <w:noWrap/>
            <w:vAlign w:val="center"/>
            <w:hideMark/>
          </w:tcPr>
          <w:p w14:paraId="6D168A69" w14:textId="77777777" w:rsidR="00F53AB2" w:rsidRPr="00E51207" w:rsidRDefault="00F53AB2" w:rsidP="003C3DAA">
            <w:pPr>
              <w:jc w:val="right"/>
              <w:rPr>
                <w:color w:val="000000"/>
                <w:sz w:val="16"/>
                <w:szCs w:val="16"/>
              </w:rPr>
            </w:pPr>
            <w:r w:rsidRPr="00E51207">
              <w:rPr>
                <w:color w:val="000000"/>
                <w:sz w:val="16"/>
                <w:szCs w:val="16"/>
              </w:rPr>
              <w:t>94,74%</w:t>
            </w:r>
          </w:p>
        </w:tc>
        <w:tc>
          <w:tcPr>
            <w:tcW w:w="274" w:type="pct"/>
            <w:shd w:val="clear" w:color="auto" w:fill="auto"/>
            <w:noWrap/>
            <w:vAlign w:val="center"/>
            <w:hideMark/>
          </w:tcPr>
          <w:p w14:paraId="14C8CE51" w14:textId="77777777" w:rsidR="00F53AB2" w:rsidRPr="00E51207" w:rsidRDefault="00F53AB2" w:rsidP="003C3DAA">
            <w:pPr>
              <w:jc w:val="center"/>
              <w:rPr>
                <w:color w:val="000000"/>
                <w:sz w:val="16"/>
                <w:szCs w:val="16"/>
              </w:rPr>
            </w:pPr>
            <w:r w:rsidRPr="00E51207">
              <w:rPr>
                <w:color w:val="000000"/>
                <w:sz w:val="16"/>
                <w:szCs w:val="16"/>
              </w:rPr>
              <w:t>35/38</w:t>
            </w:r>
          </w:p>
        </w:tc>
        <w:tc>
          <w:tcPr>
            <w:tcW w:w="274" w:type="pct"/>
            <w:shd w:val="clear" w:color="auto" w:fill="auto"/>
            <w:noWrap/>
            <w:vAlign w:val="center"/>
            <w:hideMark/>
          </w:tcPr>
          <w:p w14:paraId="769FA9C0" w14:textId="77777777" w:rsidR="00F53AB2" w:rsidRPr="00E51207" w:rsidRDefault="00F53AB2" w:rsidP="003C3DAA">
            <w:pPr>
              <w:jc w:val="right"/>
              <w:rPr>
                <w:color w:val="000000"/>
                <w:sz w:val="16"/>
                <w:szCs w:val="16"/>
              </w:rPr>
            </w:pPr>
            <w:r w:rsidRPr="00E51207">
              <w:rPr>
                <w:color w:val="000000"/>
                <w:sz w:val="16"/>
                <w:szCs w:val="16"/>
              </w:rPr>
              <w:t>92,11%</w:t>
            </w:r>
          </w:p>
        </w:tc>
        <w:tc>
          <w:tcPr>
            <w:tcW w:w="274" w:type="pct"/>
            <w:shd w:val="clear" w:color="auto" w:fill="F2F2F2" w:themeFill="background1" w:themeFillShade="F2"/>
            <w:noWrap/>
            <w:vAlign w:val="center"/>
            <w:hideMark/>
          </w:tcPr>
          <w:p w14:paraId="66403105" w14:textId="77777777" w:rsidR="00F53AB2" w:rsidRPr="00E51207" w:rsidRDefault="00F53AB2" w:rsidP="003C3DAA">
            <w:pPr>
              <w:jc w:val="center"/>
              <w:rPr>
                <w:color w:val="000000"/>
                <w:sz w:val="16"/>
                <w:szCs w:val="16"/>
              </w:rPr>
            </w:pPr>
            <w:r w:rsidRPr="00E51207">
              <w:rPr>
                <w:color w:val="000000"/>
                <w:sz w:val="16"/>
                <w:szCs w:val="16"/>
              </w:rPr>
              <w:t>37/38</w:t>
            </w:r>
          </w:p>
        </w:tc>
        <w:tc>
          <w:tcPr>
            <w:tcW w:w="274" w:type="pct"/>
            <w:shd w:val="clear" w:color="auto" w:fill="F2F2F2" w:themeFill="background1" w:themeFillShade="F2"/>
            <w:noWrap/>
            <w:vAlign w:val="center"/>
            <w:hideMark/>
          </w:tcPr>
          <w:p w14:paraId="47A579D6" w14:textId="77777777" w:rsidR="00F53AB2" w:rsidRPr="00E51207" w:rsidRDefault="00F53AB2" w:rsidP="003C3DAA">
            <w:pPr>
              <w:jc w:val="right"/>
              <w:rPr>
                <w:color w:val="000000"/>
                <w:sz w:val="16"/>
                <w:szCs w:val="16"/>
              </w:rPr>
            </w:pPr>
            <w:r w:rsidRPr="00E51207">
              <w:rPr>
                <w:color w:val="000000"/>
                <w:sz w:val="16"/>
                <w:szCs w:val="16"/>
              </w:rPr>
              <w:t>97,37%</w:t>
            </w:r>
          </w:p>
        </w:tc>
        <w:tc>
          <w:tcPr>
            <w:tcW w:w="274" w:type="pct"/>
            <w:shd w:val="clear" w:color="auto" w:fill="auto"/>
            <w:noWrap/>
            <w:vAlign w:val="center"/>
            <w:hideMark/>
          </w:tcPr>
          <w:p w14:paraId="323FEB99" w14:textId="77777777" w:rsidR="00F53AB2" w:rsidRPr="00E51207" w:rsidRDefault="00F53AB2" w:rsidP="003C3DAA">
            <w:pPr>
              <w:jc w:val="center"/>
              <w:rPr>
                <w:color w:val="000000"/>
                <w:sz w:val="16"/>
                <w:szCs w:val="16"/>
              </w:rPr>
            </w:pPr>
            <w:r w:rsidRPr="00E51207">
              <w:rPr>
                <w:color w:val="000000"/>
                <w:sz w:val="16"/>
                <w:szCs w:val="16"/>
              </w:rPr>
              <w:t>30/38</w:t>
            </w:r>
          </w:p>
        </w:tc>
        <w:tc>
          <w:tcPr>
            <w:tcW w:w="274" w:type="pct"/>
            <w:shd w:val="clear" w:color="auto" w:fill="auto"/>
            <w:noWrap/>
            <w:vAlign w:val="center"/>
            <w:hideMark/>
          </w:tcPr>
          <w:p w14:paraId="593E12CA" w14:textId="77777777" w:rsidR="00F53AB2" w:rsidRPr="00E51207" w:rsidRDefault="00F53AB2" w:rsidP="003C3DAA">
            <w:pPr>
              <w:jc w:val="right"/>
              <w:rPr>
                <w:color w:val="000000"/>
                <w:sz w:val="16"/>
                <w:szCs w:val="16"/>
              </w:rPr>
            </w:pPr>
            <w:r w:rsidRPr="00E51207">
              <w:rPr>
                <w:color w:val="000000"/>
                <w:sz w:val="16"/>
                <w:szCs w:val="16"/>
              </w:rPr>
              <w:t>78,95%</w:t>
            </w:r>
          </w:p>
        </w:tc>
        <w:tc>
          <w:tcPr>
            <w:tcW w:w="274" w:type="pct"/>
            <w:shd w:val="clear" w:color="auto" w:fill="F2F2F2" w:themeFill="background1" w:themeFillShade="F2"/>
            <w:noWrap/>
            <w:vAlign w:val="center"/>
            <w:hideMark/>
          </w:tcPr>
          <w:p w14:paraId="3D63B0CA" w14:textId="77777777" w:rsidR="00F53AB2" w:rsidRPr="00E51207" w:rsidRDefault="00F53AB2" w:rsidP="003C3DAA">
            <w:pPr>
              <w:jc w:val="center"/>
              <w:rPr>
                <w:color w:val="000000"/>
                <w:sz w:val="16"/>
                <w:szCs w:val="16"/>
              </w:rPr>
            </w:pPr>
            <w:r w:rsidRPr="00E51207">
              <w:rPr>
                <w:color w:val="000000"/>
                <w:sz w:val="16"/>
                <w:szCs w:val="16"/>
              </w:rPr>
              <w:t>37/38</w:t>
            </w:r>
          </w:p>
        </w:tc>
        <w:tc>
          <w:tcPr>
            <w:tcW w:w="274" w:type="pct"/>
            <w:shd w:val="clear" w:color="auto" w:fill="F2F2F2" w:themeFill="background1" w:themeFillShade="F2"/>
            <w:noWrap/>
            <w:vAlign w:val="center"/>
            <w:hideMark/>
          </w:tcPr>
          <w:p w14:paraId="34821451" w14:textId="77777777" w:rsidR="00F53AB2" w:rsidRPr="00E51207" w:rsidRDefault="00F53AB2" w:rsidP="003C3DAA">
            <w:pPr>
              <w:jc w:val="right"/>
              <w:rPr>
                <w:color w:val="000000"/>
                <w:sz w:val="16"/>
                <w:szCs w:val="16"/>
              </w:rPr>
            </w:pPr>
            <w:r w:rsidRPr="00E51207">
              <w:rPr>
                <w:color w:val="000000"/>
                <w:sz w:val="16"/>
                <w:szCs w:val="16"/>
              </w:rPr>
              <w:t>97,37%</w:t>
            </w:r>
          </w:p>
        </w:tc>
      </w:tr>
      <w:tr w:rsidR="00F53AB2" w:rsidRPr="007B3AE5" w14:paraId="33B9E8F9" w14:textId="77777777" w:rsidTr="002263D5">
        <w:trPr>
          <w:trHeight w:val="290"/>
        </w:trPr>
        <w:tc>
          <w:tcPr>
            <w:tcW w:w="199" w:type="pct"/>
            <w:shd w:val="clear" w:color="auto" w:fill="auto"/>
            <w:noWrap/>
            <w:vAlign w:val="center"/>
            <w:hideMark/>
          </w:tcPr>
          <w:p w14:paraId="586AB631" w14:textId="77777777" w:rsidR="00F53AB2" w:rsidRPr="00E51207" w:rsidRDefault="00F53AB2" w:rsidP="003C3DAA">
            <w:pPr>
              <w:jc w:val="right"/>
              <w:rPr>
                <w:color w:val="000000"/>
                <w:sz w:val="16"/>
                <w:szCs w:val="16"/>
              </w:rPr>
            </w:pPr>
            <w:r w:rsidRPr="00E51207">
              <w:rPr>
                <w:color w:val="000000"/>
                <w:sz w:val="16"/>
                <w:szCs w:val="16"/>
              </w:rPr>
              <w:t>70.</w:t>
            </w:r>
          </w:p>
        </w:tc>
        <w:tc>
          <w:tcPr>
            <w:tcW w:w="2060" w:type="pct"/>
            <w:shd w:val="clear" w:color="auto" w:fill="auto"/>
            <w:noWrap/>
            <w:vAlign w:val="center"/>
            <w:hideMark/>
          </w:tcPr>
          <w:p w14:paraId="10DC5D94" w14:textId="77777777" w:rsidR="00F53AB2" w:rsidRPr="00E51207" w:rsidRDefault="00F53AB2" w:rsidP="003C3DAA">
            <w:pPr>
              <w:rPr>
                <w:color w:val="000000"/>
                <w:sz w:val="16"/>
                <w:szCs w:val="16"/>
              </w:rPr>
            </w:pPr>
            <w:r w:rsidRPr="00E51207">
              <w:rPr>
                <w:color w:val="000000"/>
                <w:sz w:val="16"/>
                <w:szCs w:val="16"/>
              </w:rPr>
              <w:t>Uprava za indirektno oporezivanje BiH</w:t>
            </w:r>
          </w:p>
        </w:tc>
        <w:tc>
          <w:tcPr>
            <w:tcW w:w="274" w:type="pct"/>
            <w:shd w:val="clear" w:color="auto" w:fill="F2F2F2" w:themeFill="background1" w:themeFillShade="F2"/>
            <w:noWrap/>
            <w:vAlign w:val="center"/>
            <w:hideMark/>
          </w:tcPr>
          <w:p w14:paraId="70FEC031" w14:textId="77777777" w:rsidR="00F53AB2" w:rsidRPr="00E51207" w:rsidRDefault="00F53AB2" w:rsidP="003C3DAA">
            <w:pPr>
              <w:jc w:val="center"/>
              <w:rPr>
                <w:color w:val="000000"/>
                <w:sz w:val="16"/>
                <w:szCs w:val="16"/>
              </w:rPr>
            </w:pPr>
            <w:r w:rsidRPr="00E51207">
              <w:rPr>
                <w:color w:val="000000"/>
                <w:sz w:val="16"/>
                <w:szCs w:val="16"/>
              </w:rPr>
              <w:t>25/38</w:t>
            </w:r>
          </w:p>
        </w:tc>
        <w:tc>
          <w:tcPr>
            <w:tcW w:w="274" w:type="pct"/>
            <w:shd w:val="clear" w:color="auto" w:fill="F2F2F2" w:themeFill="background1" w:themeFillShade="F2"/>
            <w:noWrap/>
            <w:vAlign w:val="center"/>
            <w:hideMark/>
          </w:tcPr>
          <w:p w14:paraId="7820184D" w14:textId="77777777" w:rsidR="00F53AB2" w:rsidRPr="00E51207" w:rsidRDefault="00F53AB2" w:rsidP="003C3DAA">
            <w:pPr>
              <w:jc w:val="right"/>
              <w:rPr>
                <w:color w:val="000000"/>
                <w:sz w:val="16"/>
                <w:szCs w:val="16"/>
              </w:rPr>
            </w:pPr>
            <w:r w:rsidRPr="00E51207">
              <w:rPr>
                <w:color w:val="000000"/>
                <w:sz w:val="16"/>
                <w:szCs w:val="16"/>
              </w:rPr>
              <w:t>65,79%</w:t>
            </w:r>
          </w:p>
        </w:tc>
        <w:tc>
          <w:tcPr>
            <w:tcW w:w="274" w:type="pct"/>
            <w:shd w:val="clear" w:color="auto" w:fill="auto"/>
            <w:noWrap/>
            <w:vAlign w:val="center"/>
            <w:hideMark/>
          </w:tcPr>
          <w:p w14:paraId="02512F99" w14:textId="77777777" w:rsidR="00F53AB2" w:rsidRPr="00E51207" w:rsidRDefault="00F53AB2" w:rsidP="003C3DAA">
            <w:pPr>
              <w:jc w:val="center"/>
              <w:rPr>
                <w:color w:val="000000"/>
                <w:sz w:val="16"/>
                <w:szCs w:val="16"/>
              </w:rPr>
            </w:pPr>
            <w:r w:rsidRPr="00E51207">
              <w:rPr>
                <w:color w:val="000000"/>
                <w:sz w:val="16"/>
                <w:szCs w:val="16"/>
              </w:rPr>
              <w:t>36/38</w:t>
            </w:r>
          </w:p>
        </w:tc>
        <w:tc>
          <w:tcPr>
            <w:tcW w:w="274" w:type="pct"/>
            <w:shd w:val="clear" w:color="auto" w:fill="auto"/>
            <w:noWrap/>
            <w:vAlign w:val="center"/>
            <w:hideMark/>
          </w:tcPr>
          <w:p w14:paraId="7F9BAA2A" w14:textId="77777777" w:rsidR="00F53AB2" w:rsidRPr="00E51207" w:rsidRDefault="00F53AB2" w:rsidP="003C3DAA">
            <w:pPr>
              <w:jc w:val="right"/>
              <w:rPr>
                <w:color w:val="000000"/>
                <w:sz w:val="16"/>
                <w:szCs w:val="16"/>
              </w:rPr>
            </w:pPr>
            <w:r w:rsidRPr="00E51207">
              <w:rPr>
                <w:color w:val="000000"/>
                <w:sz w:val="16"/>
                <w:szCs w:val="16"/>
              </w:rPr>
              <w:t>94,74%</w:t>
            </w:r>
          </w:p>
        </w:tc>
        <w:tc>
          <w:tcPr>
            <w:tcW w:w="274" w:type="pct"/>
            <w:shd w:val="clear" w:color="auto" w:fill="F2F2F2" w:themeFill="background1" w:themeFillShade="F2"/>
            <w:noWrap/>
            <w:vAlign w:val="center"/>
            <w:hideMark/>
          </w:tcPr>
          <w:p w14:paraId="11DC0633" w14:textId="77777777" w:rsidR="00F53AB2" w:rsidRPr="00E51207" w:rsidRDefault="00F53AB2" w:rsidP="003C3DAA">
            <w:pPr>
              <w:jc w:val="center"/>
              <w:rPr>
                <w:color w:val="000000"/>
                <w:sz w:val="16"/>
                <w:szCs w:val="16"/>
              </w:rPr>
            </w:pPr>
            <w:r w:rsidRPr="00E51207">
              <w:rPr>
                <w:color w:val="000000"/>
                <w:sz w:val="16"/>
                <w:szCs w:val="16"/>
              </w:rPr>
              <w:t>36/38</w:t>
            </w:r>
          </w:p>
        </w:tc>
        <w:tc>
          <w:tcPr>
            <w:tcW w:w="274" w:type="pct"/>
            <w:shd w:val="clear" w:color="auto" w:fill="F2F2F2" w:themeFill="background1" w:themeFillShade="F2"/>
            <w:noWrap/>
            <w:vAlign w:val="center"/>
            <w:hideMark/>
          </w:tcPr>
          <w:p w14:paraId="40E67D29" w14:textId="77777777" w:rsidR="00F53AB2" w:rsidRPr="00E51207" w:rsidRDefault="00F53AB2" w:rsidP="003C3DAA">
            <w:pPr>
              <w:jc w:val="right"/>
              <w:rPr>
                <w:color w:val="000000"/>
                <w:sz w:val="16"/>
                <w:szCs w:val="16"/>
              </w:rPr>
            </w:pPr>
            <w:r w:rsidRPr="00E51207">
              <w:rPr>
                <w:color w:val="000000"/>
                <w:sz w:val="16"/>
                <w:szCs w:val="16"/>
              </w:rPr>
              <w:t>94,74%</w:t>
            </w:r>
          </w:p>
        </w:tc>
        <w:tc>
          <w:tcPr>
            <w:tcW w:w="274" w:type="pct"/>
            <w:shd w:val="clear" w:color="auto" w:fill="auto"/>
            <w:noWrap/>
            <w:vAlign w:val="center"/>
            <w:hideMark/>
          </w:tcPr>
          <w:p w14:paraId="655C754B" w14:textId="77777777" w:rsidR="00F53AB2" w:rsidRPr="00E51207" w:rsidRDefault="00F53AB2" w:rsidP="003C3DAA">
            <w:pPr>
              <w:jc w:val="center"/>
              <w:rPr>
                <w:color w:val="000000"/>
                <w:sz w:val="16"/>
                <w:szCs w:val="16"/>
              </w:rPr>
            </w:pPr>
            <w:r w:rsidRPr="00E51207">
              <w:rPr>
                <w:color w:val="000000"/>
                <w:sz w:val="16"/>
                <w:szCs w:val="16"/>
              </w:rPr>
              <w:t>37/38</w:t>
            </w:r>
          </w:p>
        </w:tc>
        <w:tc>
          <w:tcPr>
            <w:tcW w:w="274" w:type="pct"/>
            <w:shd w:val="clear" w:color="auto" w:fill="auto"/>
            <w:noWrap/>
            <w:vAlign w:val="center"/>
            <w:hideMark/>
          </w:tcPr>
          <w:p w14:paraId="270CB190" w14:textId="77777777" w:rsidR="00F53AB2" w:rsidRPr="00E51207" w:rsidRDefault="00F53AB2" w:rsidP="003C3DAA">
            <w:pPr>
              <w:jc w:val="right"/>
              <w:rPr>
                <w:color w:val="000000"/>
                <w:sz w:val="16"/>
                <w:szCs w:val="16"/>
              </w:rPr>
            </w:pPr>
            <w:r w:rsidRPr="00E51207">
              <w:rPr>
                <w:color w:val="000000"/>
                <w:sz w:val="16"/>
                <w:szCs w:val="16"/>
              </w:rPr>
              <w:t>97,37%</w:t>
            </w:r>
          </w:p>
        </w:tc>
        <w:tc>
          <w:tcPr>
            <w:tcW w:w="274" w:type="pct"/>
            <w:shd w:val="clear" w:color="auto" w:fill="F2F2F2" w:themeFill="background1" w:themeFillShade="F2"/>
            <w:noWrap/>
            <w:vAlign w:val="center"/>
            <w:hideMark/>
          </w:tcPr>
          <w:p w14:paraId="2D04A9B2" w14:textId="77777777" w:rsidR="00F53AB2" w:rsidRPr="00E51207" w:rsidRDefault="00F53AB2" w:rsidP="003C3DAA">
            <w:pPr>
              <w:jc w:val="center"/>
              <w:rPr>
                <w:color w:val="000000"/>
                <w:sz w:val="16"/>
                <w:szCs w:val="16"/>
              </w:rPr>
            </w:pPr>
            <w:r w:rsidRPr="00E51207">
              <w:rPr>
                <w:color w:val="000000"/>
                <w:sz w:val="16"/>
                <w:szCs w:val="16"/>
              </w:rPr>
              <w:t>37/38</w:t>
            </w:r>
          </w:p>
        </w:tc>
        <w:tc>
          <w:tcPr>
            <w:tcW w:w="274" w:type="pct"/>
            <w:shd w:val="clear" w:color="auto" w:fill="F2F2F2" w:themeFill="background1" w:themeFillShade="F2"/>
            <w:noWrap/>
            <w:vAlign w:val="center"/>
            <w:hideMark/>
          </w:tcPr>
          <w:p w14:paraId="26EED6F9" w14:textId="77777777" w:rsidR="00F53AB2" w:rsidRPr="00E51207" w:rsidRDefault="00F53AB2" w:rsidP="003C3DAA">
            <w:pPr>
              <w:jc w:val="right"/>
              <w:rPr>
                <w:color w:val="000000"/>
                <w:sz w:val="16"/>
                <w:szCs w:val="16"/>
              </w:rPr>
            </w:pPr>
            <w:r w:rsidRPr="00E51207">
              <w:rPr>
                <w:color w:val="000000"/>
                <w:sz w:val="16"/>
                <w:szCs w:val="16"/>
              </w:rPr>
              <w:t>97,37%</w:t>
            </w:r>
          </w:p>
        </w:tc>
      </w:tr>
      <w:tr w:rsidR="00F53AB2" w:rsidRPr="007B3AE5" w14:paraId="50FA18E8" w14:textId="77777777" w:rsidTr="002263D5">
        <w:trPr>
          <w:trHeight w:val="290"/>
        </w:trPr>
        <w:tc>
          <w:tcPr>
            <w:tcW w:w="199" w:type="pct"/>
            <w:shd w:val="clear" w:color="auto" w:fill="auto"/>
            <w:noWrap/>
            <w:vAlign w:val="center"/>
            <w:hideMark/>
          </w:tcPr>
          <w:p w14:paraId="7E2B5C1D" w14:textId="77777777" w:rsidR="00F53AB2" w:rsidRPr="00E51207" w:rsidRDefault="00F53AB2" w:rsidP="003C3DAA">
            <w:pPr>
              <w:jc w:val="right"/>
              <w:rPr>
                <w:color w:val="000000"/>
                <w:sz w:val="16"/>
                <w:szCs w:val="16"/>
              </w:rPr>
            </w:pPr>
            <w:r w:rsidRPr="00E51207">
              <w:rPr>
                <w:color w:val="000000"/>
                <w:sz w:val="16"/>
                <w:szCs w:val="16"/>
              </w:rPr>
              <w:t>71.</w:t>
            </w:r>
          </w:p>
        </w:tc>
        <w:tc>
          <w:tcPr>
            <w:tcW w:w="2060" w:type="pct"/>
            <w:shd w:val="clear" w:color="auto" w:fill="auto"/>
            <w:noWrap/>
            <w:vAlign w:val="center"/>
            <w:hideMark/>
          </w:tcPr>
          <w:p w14:paraId="6079C58F" w14:textId="77777777" w:rsidR="00F53AB2" w:rsidRPr="00E51207" w:rsidRDefault="00F53AB2" w:rsidP="003C3DAA">
            <w:pPr>
              <w:rPr>
                <w:color w:val="000000"/>
                <w:sz w:val="16"/>
                <w:szCs w:val="16"/>
              </w:rPr>
            </w:pPr>
            <w:r w:rsidRPr="00E51207">
              <w:rPr>
                <w:color w:val="000000"/>
                <w:sz w:val="16"/>
                <w:szCs w:val="16"/>
              </w:rPr>
              <w:t>Agencija za policijsku podršku BiH</w:t>
            </w:r>
          </w:p>
        </w:tc>
        <w:tc>
          <w:tcPr>
            <w:tcW w:w="274" w:type="pct"/>
            <w:shd w:val="clear" w:color="auto" w:fill="F2F2F2" w:themeFill="background1" w:themeFillShade="F2"/>
            <w:noWrap/>
            <w:vAlign w:val="center"/>
            <w:hideMark/>
          </w:tcPr>
          <w:p w14:paraId="3A9CF70F" w14:textId="77777777" w:rsidR="00F53AB2" w:rsidRPr="00E51207" w:rsidRDefault="00F53AB2" w:rsidP="003C3DAA">
            <w:pPr>
              <w:jc w:val="center"/>
              <w:rPr>
                <w:color w:val="000000"/>
                <w:sz w:val="16"/>
                <w:szCs w:val="16"/>
              </w:rPr>
            </w:pPr>
            <w:r w:rsidRPr="00E51207">
              <w:rPr>
                <w:color w:val="000000"/>
                <w:sz w:val="16"/>
                <w:szCs w:val="16"/>
              </w:rPr>
              <w:t>22/38</w:t>
            </w:r>
          </w:p>
        </w:tc>
        <w:tc>
          <w:tcPr>
            <w:tcW w:w="274" w:type="pct"/>
            <w:shd w:val="clear" w:color="auto" w:fill="F2F2F2" w:themeFill="background1" w:themeFillShade="F2"/>
            <w:noWrap/>
            <w:vAlign w:val="center"/>
            <w:hideMark/>
          </w:tcPr>
          <w:p w14:paraId="32BEDACF" w14:textId="77777777" w:rsidR="00F53AB2" w:rsidRPr="00E51207" w:rsidRDefault="00F53AB2" w:rsidP="003C3DAA">
            <w:pPr>
              <w:jc w:val="right"/>
              <w:rPr>
                <w:color w:val="000000"/>
                <w:sz w:val="16"/>
                <w:szCs w:val="16"/>
              </w:rPr>
            </w:pPr>
            <w:r w:rsidRPr="00E51207">
              <w:rPr>
                <w:color w:val="000000"/>
                <w:sz w:val="16"/>
                <w:szCs w:val="16"/>
              </w:rPr>
              <w:t>57,89%</w:t>
            </w:r>
          </w:p>
        </w:tc>
        <w:tc>
          <w:tcPr>
            <w:tcW w:w="274" w:type="pct"/>
            <w:shd w:val="clear" w:color="auto" w:fill="auto"/>
            <w:noWrap/>
            <w:vAlign w:val="center"/>
            <w:hideMark/>
          </w:tcPr>
          <w:p w14:paraId="5EDD014D" w14:textId="77777777" w:rsidR="00F53AB2" w:rsidRPr="00E51207" w:rsidRDefault="00F53AB2" w:rsidP="003C3DAA">
            <w:pPr>
              <w:jc w:val="center"/>
              <w:rPr>
                <w:color w:val="000000"/>
                <w:sz w:val="16"/>
                <w:szCs w:val="16"/>
              </w:rPr>
            </w:pPr>
            <w:r w:rsidRPr="00E51207">
              <w:rPr>
                <w:color w:val="000000"/>
                <w:sz w:val="16"/>
                <w:szCs w:val="16"/>
              </w:rPr>
              <w:t>23/38</w:t>
            </w:r>
          </w:p>
        </w:tc>
        <w:tc>
          <w:tcPr>
            <w:tcW w:w="274" w:type="pct"/>
            <w:shd w:val="clear" w:color="auto" w:fill="auto"/>
            <w:noWrap/>
            <w:vAlign w:val="center"/>
            <w:hideMark/>
          </w:tcPr>
          <w:p w14:paraId="5F87D976" w14:textId="77777777" w:rsidR="00F53AB2" w:rsidRPr="00E51207" w:rsidRDefault="00F53AB2" w:rsidP="003C3DAA">
            <w:pPr>
              <w:jc w:val="right"/>
              <w:rPr>
                <w:color w:val="000000"/>
                <w:sz w:val="16"/>
                <w:szCs w:val="16"/>
              </w:rPr>
            </w:pPr>
            <w:r w:rsidRPr="00E51207">
              <w:rPr>
                <w:color w:val="000000"/>
                <w:sz w:val="16"/>
                <w:szCs w:val="16"/>
              </w:rPr>
              <w:t>60,53%</w:t>
            </w:r>
          </w:p>
        </w:tc>
        <w:tc>
          <w:tcPr>
            <w:tcW w:w="274" w:type="pct"/>
            <w:shd w:val="clear" w:color="auto" w:fill="F2F2F2" w:themeFill="background1" w:themeFillShade="F2"/>
            <w:noWrap/>
            <w:vAlign w:val="center"/>
            <w:hideMark/>
          </w:tcPr>
          <w:p w14:paraId="79AE72AF" w14:textId="77777777" w:rsidR="00F53AB2" w:rsidRPr="00E51207" w:rsidRDefault="00F53AB2" w:rsidP="003C3DAA">
            <w:pPr>
              <w:jc w:val="center"/>
              <w:rPr>
                <w:color w:val="000000"/>
                <w:sz w:val="16"/>
                <w:szCs w:val="16"/>
              </w:rPr>
            </w:pPr>
            <w:r w:rsidRPr="00E51207">
              <w:rPr>
                <w:color w:val="000000"/>
                <w:sz w:val="16"/>
                <w:szCs w:val="16"/>
              </w:rPr>
              <w:t>37/38</w:t>
            </w:r>
          </w:p>
        </w:tc>
        <w:tc>
          <w:tcPr>
            <w:tcW w:w="274" w:type="pct"/>
            <w:shd w:val="clear" w:color="auto" w:fill="F2F2F2" w:themeFill="background1" w:themeFillShade="F2"/>
            <w:noWrap/>
            <w:vAlign w:val="center"/>
            <w:hideMark/>
          </w:tcPr>
          <w:p w14:paraId="34729637" w14:textId="77777777" w:rsidR="00F53AB2" w:rsidRPr="00E51207" w:rsidRDefault="00F53AB2" w:rsidP="003C3DAA">
            <w:pPr>
              <w:jc w:val="right"/>
              <w:rPr>
                <w:color w:val="000000"/>
                <w:sz w:val="16"/>
                <w:szCs w:val="16"/>
              </w:rPr>
            </w:pPr>
            <w:r w:rsidRPr="00E51207">
              <w:rPr>
                <w:color w:val="000000"/>
                <w:sz w:val="16"/>
                <w:szCs w:val="16"/>
              </w:rPr>
              <w:t>97,37%</w:t>
            </w:r>
          </w:p>
        </w:tc>
        <w:tc>
          <w:tcPr>
            <w:tcW w:w="274" w:type="pct"/>
            <w:shd w:val="clear" w:color="auto" w:fill="auto"/>
            <w:noWrap/>
            <w:vAlign w:val="center"/>
            <w:hideMark/>
          </w:tcPr>
          <w:p w14:paraId="2AF99286"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auto"/>
            <w:noWrap/>
            <w:vAlign w:val="center"/>
            <w:hideMark/>
          </w:tcPr>
          <w:p w14:paraId="4376F0A7"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c>
          <w:tcPr>
            <w:tcW w:w="274" w:type="pct"/>
            <w:shd w:val="clear" w:color="auto" w:fill="F2F2F2" w:themeFill="background1" w:themeFillShade="F2"/>
            <w:noWrap/>
            <w:vAlign w:val="center"/>
            <w:hideMark/>
          </w:tcPr>
          <w:p w14:paraId="44FB0591"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F2F2F2" w:themeFill="background1" w:themeFillShade="F2"/>
            <w:noWrap/>
            <w:vAlign w:val="center"/>
            <w:hideMark/>
          </w:tcPr>
          <w:p w14:paraId="6D116FC7"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r>
      <w:tr w:rsidR="00F53AB2" w:rsidRPr="007B3AE5" w14:paraId="07761360" w14:textId="77777777" w:rsidTr="002263D5">
        <w:trPr>
          <w:trHeight w:val="290"/>
        </w:trPr>
        <w:tc>
          <w:tcPr>
            <w:tcW w:w="199" w:type="pct"/>
            <w:shd w:val="clear" w:color="auto" w:fill="auto"/>
            <w:noWrap/>
            <w:vAlign w:val="center"/>
            <w:hideMark/>
          </w:tcPr>
          <w:p w14:paraId="259A609D" w14:textId="77777777" w:rsidR="00F53AB2" w:rsidRPr="00E51207" w:rsidRDefault="00F53AB2" w:rsidP="003C3DAA">
            <w:pPr>
              <w:jc w:val="right"/>
              <w:rPr>
                <w:color w:val="000000"/>
                <w:sz w:val="16"/>
                <w:szCs w:val="16"/>
              </w:rPr>
            </w:pPr>
            <w:r w:rsidRPr="00E51207">
              <w:rPr>
                <w:color w:val="000000"/>
                <w:sz w:val="16"/>
                <w:szCs w:val="16"/>
              </w:rPr>
              <w:t>72.</w:t>
            </w:r>
          </w:p>
        </w:tc>
        <w:tc>
          <w:tcPr>
            <w:tcW w:w="2060" w:type="pct"/>
            <w:shd w:val="clear" w:color="auto" w:fill="auto"/>
            <w:noWrap/>
            <w:vAlign w:val="center"/>
            <w:hideMark/>
          </w:tcPr>
          <w:p w14:paraId="2E7922D4" w14:textId="77777777" w:rsidR="00F53AB2" w:rsidRPr="00E51207" w:rsidRDefault="00F53AB2" w:rsidP="003C3DAA">
            <w:pPr>
              <w:rPr>
                <w:color w:val="000000"/>
                <w:sz w:val="16"/>
                <w:szCs w:val="16"/>
              </w:rPr>
            </w:pPr>
            <w:r w:rsidRPr="00E51207">
              <w:rPr>
                <w:color w:val="000000"/>
                <w:sz w:val="16"/>
                <w:szCs w:val="16"/>
              </w:rPr>
              <w:t>Agencija za ravnopravnost polova BiH</w:t>
            </w:r>
          </w:p>
        </w:tc>
        <w:tc>
          <w:tcPr>
            <w:tcW w:w="274" w:type="pct"/>
            <w:shd w:val="clear" w:color="auto" w:fill="F2F2F2" w:themeFill="background1" w:themeFillShade="F2"/>
            <w:noWrap/>
            <w:vAlign w:val="center"/>
            <w:hideMark/>
          </w:tcPr>
          <w:p w14:paraId="7839F6E7"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62C1FE97"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4750DEAA"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auto"/>
            <w:noWrap/>
            <w:vAlign w:val="center"/>
            <w:hideMark/>
          </w:tcPr>
          <w:p w14:paraId="047B0A9C"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7F52B6E5" w14:textId="77777777" w:rsidR="00F53AB2" w:rsidRPr="00E51207" w:rsidRDefault="00F53AB2" w:rsidP="003C3DAA">
            <w:pPr>
              <w:jc w:val="center"/>
              <w:rPr>
                <w:color w:val="000000"/>
                <w:sz w:val="16"/>
                <w:szCs w:val="16"/>
              </w:rPr>
            </w:pPr>
            <w:r w:rsidRPr="00E51207">
              <w:rPr>
                <w:color w:val="000000"/>
                <w:sz w:val="16"/>
                <w:szCs w:val="16"/>
              </w:rPr>
              <w:t>/</w:t>
            </w:r>
          </w:p>
        </w:tc>
        <w:tc>
          <w:tcPr>
            <w:tcW w:w="274" w:type="pct"/>
            <w:shd w:val="clear" w:color="auto" w:fill="F2F2F2" w:themeFill="background1" w:themeFillShade="F2"/>
            <w:noWrap/>
            <w:vAlign w:val="center"/>
            <w:hideMark/>
          </w:tcPr>
          <w:p w14:paraId="233F602F" w14:textId="77777777" w:rsidR="00F53AB2" w:rsidRPr="00E51207" w:rsidRDefault="00F53AB2" w:rsidP="003C3DAA">
            <w:pPr>
              <w:jc w:val="right"/>
              <w:rPr>
                <w:color w:val="000000"/>
                <w:sz w:val="16"/>
                <w:szCs w:val="16"/>
              </w:rPr>
            </w:pPr>
            <w:r w:rsidRPr="00E51207">
              <w:rPr>
                <w:color w:val="000000"/>
                <w:sz w:val="16"/>
                <w:szCs w:val="16"/>
              </w:rPr>
              <w:t>/</w:t>
            </w:r>
          </w:p>
        </w:tc>
        <w:tc>
          <w:tcPr>
            <w:tcW w:w="274" w:type="pct"/>
            <w:shd w:val="clear" w:color="auto" w:fill="auto"/>
            <w:noWrap/>
            <w:vAlign w:val="center"/>
            <w:hideMark/>
          </w:tcPr>
          <w:p w14:paraId="5159C19E"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auto"/>
            <w:noWrap/>
            <w:vAlign w:val="center"/>
            <w:hideMark/>
          </w:tcPr>
          <w:p w14:paraId="7B659C5E"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c>
          <w:tcPr>
            <w:tcW w:w="274" w:type="pct"/>
            <w:shd w:val="clear" w:color="auto" w:fill="F2F2F2" w:themeFill="background1" w:themeFillShade="F2"/>
            <w:noWrap/>
            <w:vAlign w:val="center"/>
            <w:hideMark/>
          </w:tcPr>
          <w:p w14:paraId="042CB76A"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F2F2F2" w:themeFill="background1" w:themeFillShade="F2"/>
            <w:noWrap/>
            <w:vAlign w:val="center"/>
            <w:hideMark/>
          </w:tcPr>
          <w:p w14:paraId="42851B53"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r>
      <w:tr w:rsidR="00F53AB2" w:rsidRPr="007B3AE5" w14:paraId="3538C86D" w14:textId="77777777" w:rsidTr="002263D5">
        <w:trPr>
          <w:trHeight w:val="290"/>
        </w:trPr>
        <w:tc>
          <w:tcPr>
            <w:tcW w:w="199" w:type="pct"/>
            <w:shd w:val="clear" w:color="auto" w:fill="auto"/>
            <w:noWrap/>
            <w:vAlign w:val="center"/>
            <w:hideMark/>
          </w:tcPr>
          <w:p w14:paraId="57D203A5" w14:textId="77777777" w:rsidR="00F53AB2" w:rsidRPr="00E51207" w:rsidRDefault="00F53AB2" w:rsidP="003C3DAA">
            <w:pPr>
              <w:jc w:val="right"/>
              <w:rPr>
                <w:color w:val="000000"/>
                <w:sz w:val="16"/>
                <w:szCs w:val="16"/>
              </w:rPr>
            </w:pPr>
            <w:r w:rsidRPr="00E51207">
              <w:rPr>
                <w:color w:val="000000"/>
                <w:sz w:val="16"/>
                <w:szCs w:val="16"/>
              </w:rPr>
              <w:t>73.</w:t>
            </w:r>
          </w:p>
        </w:tc>
        <w:tc>
          <w:tcPr>
            <w:tcW w:w="2060" w:type="pct"/>
            <w:shd w:val="clear" w:color="auto" w:fill="auto"/>
            <w:noWrap/>
            <w:vAlign w:val="center"/>
            <w:hideMark/>
          </w:tcPr>
          <w:p w14:paraId="2EE2AC81" w14:textId="77777777" w:rsidR="00F53AB2" w:rsidRPr="00E51207" w:rsidRDefault="00F53AB2" w:rsidP="003C3DAA">
            <w:pPr>
              <w:rPr>
                <w:color w:val="000000"/>
                <w:sz w:val="16"/>
                <w:szCs w:val="16"/>
              </w:rPr>
            </w:pPr>
            <w:r w:rsidRPr="00E51207">
              <w:rPr>
                <w:color w:val="000000"/>
                <w:sz w:val="16"/>
                <w:szCs w:val="16"/>
              </w:rPr>
              <w:t>Agencija za razvoj visokog obrazovanja i osiguranje kvaliteta</w:t>
            </w:r>
          </w:p>
        </w:tc>
        <w:tc>
          <w:tcPr>
            <w:tcW w:w="274" w:type="pct"/>
            <w:shd w:val="clear" w:color="auto" w:fill="F2F2F2" w:themeFill="background1" w:themeFillShade="F2"/>
            <w:noWrap/>
            <w:vAlign w:val="center"/>
            <w:hideMark/>
          </w:tcPr>
          <w:p w14:paraId="4900A95A"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F2F2F2" w:themeFill="background1" w:themeFillShade="F2"/>
            <w:noWrap/>
            <w:vAlign w:val="center"/>
            <w:hideMark/>
          </w:tcPr>
          <w:p w14:paraId="396DCF64"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c>
          <w:tcPr>
            <w:tcW w:w="274" w:type="pct"/>
            <w:shd w:val="clear" w:color="auto" w:fill="auto"/>
            <w:noWrap/>
            <w:vAlign w:val="center"/>
            <w:hideMark/>
          </w:tcPr>
          <w:p w14:paraId="44BA062C"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auto"/>
            <w:noWrap/>
            <w:vAlign w:val="center"/>
            <w:hideMark/>
          </w:tcPr>
          <w:p w14:paraId="2F8B8D78"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c>
          <w:tcPr>
            <w:tcW w:w="274" w:type="pct"/>
            <w:shd w:val="clear" w:color="auto" w:fill="F2F2F2" w:themeFill="background1" w:themeFillShade="F2"/>
            <w:noWrap/>
            <w:vAlign w:val="center"/>
            <w:hideMark/>
          </w:tcPr>
          <w:p w14:paraId="17BEF303"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F2F2F2" w:themeFill="background1" w:themeFillShade="F2"/>
            <w:noWrap/>
            <w:vAlign w:val="center"/>
            <w:hideMark/>
          </w:tcPr>
          <w:p w14:paraId="137D7955"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c>
          <w:tcPr>
            <w:tcW w:w="274" w:type="pct"/>
            <w:shd w:val="clear" w:color="auto" w:fill="auto"/>
            <w:noWrap/>
            <w:vAlign w:val="center"/>
            <w:hideMark/>
          </w:tcPr>
          <w:p w14:paraId="4FA4710B"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auto"/>
            <w:noWrap/>
            <w:vAlign w:val="center"/>
            <w:hideMark/>
          </w:tcPr>
          <w:p w14:paraId="7291918E"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c>
          <w:tcPr>
            <w:tcW w:w="274" w:type="pct"/>
            <w:shd w:val="clear" w:color="auto" w:fill="F2F2F2" w:themeFill="background1" w:themeFillShade="F2"/>
            <w:noWrap/>
            <w:vAlign w:val="center"/>
            <w:hideMark/>
          </w:tcPr>
          <w:p w14:paraId="5589D744"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F2F2F2" w:themeFill="background1" w:themeFillShade="F2"/>
            <w:noWrap/>
            <w:vAlign w:val="center"/>
            <w:hideMark/>
          </w:tcPr>
          <w:p w14:paraId="24142E16"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r>
      <w:tr w:rsidR="00F53AB2" w:rsidRPr="007B3AE5" w14:paraId="03F65A5B" w14:textId="77777777" w:rsidTr="002263D5">
        <w:trPr>
          <w:trHeight w:val="290"/>
        </w:trPr>
        <w:tc>
          <w:tcPr>
            <w:tcW w:w="199" w:type="pct"/>
            <w:shd w:val="clear" w:color="auto" w:fill="auto"/>
            <w:noWrap/>
            <w:vAlign w:val="center"/>
            <w:hideMark/>
          </w:tcPr>
          <w:p w14:paraId="5E6DCD8B" w14:textId="77777777" w:rsidR="00F53AB2" w:rsidRPr="00E51207" w:rsidRDefault="00F53AB2" w:rsidP="003C3DAA">
            <w:pPr>
              <w:jc w:val="right"/>
              <w:rPr>
                <w:color w:val="000000"/>
                <w:sz w:val="16"/>
                <w:szCs w:val="16"/>
              </w:rPr>
            </w:pPr>
            <w:r w:rsidRPr="00E51207">
              <w:rPr>
                <w:color w:val="000000"/>
                <w:sz w:val="16"/>
                <w:szCs w:val="16"/>
              </w:rPr>
              <w:t>74.</w:t>
            </w:r>
          </w:p>
        </w:tc>
        <w:tc>
          <w:tcPr>
            <w:tcW w:w="2060" w:type="pct"/>
            <w:shd w:val="clear" w:color="auto" w:fill="auto"/>
            <w:noWrap/>
            <w:vAlign w:val="center"/>
            <w:hideMark/>
          </w:tcPr>
          <w:p w14:paraId="3573466E" w14:textId="77777777" w:rsidR="00F53AB2" w:rsidRPr="00E51207" w:rsidRDefault="00F53AB2" w:rsidP="003C3DAA">
            <w:pPr>
              <w:rPr>
                <w:color w:val="000000"/>
                <w:sz w:val="16"/>
                <w:szCs w:val="16"/>
              </w:rPr>
            </w:pPr>
            <w:r w:rsidRPr="00E51207">
              <w:rPr>
                <w:color w:val="000000"/>
                <w:sz w:val="16"/>
                <w:szCs w:val="16"/>
              </w:rPr>
              <w:t>Agencija za statistiku BiH</w:t>
            </w:r>
          </w:p>
        </w:tc>
        <w:tc>
          <w:tcPr>
            <w:tcW w:w="274" w:type="pct"/>
            <w:shd w:val="clear" w:color="auto" w:fill="F2F2F2" w:themeFill="background1" w:themeFillShade="F2"/>
            <w:noWrap/>
            <w:vAlign w:val="center"/>
            <w:hideMark/>
          </w:tcPr>
          <w:p w14:paraId="2261CA3F"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F2F2F2" w:themeFill="background1" w:themeFillShade="F2"/>
            <w:noWrap/>
            <w:vAlign w:val="center"/>
            <w:hideMark/>
          </w:tcPr>
          <w:p w14:paraId="1C989606"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c>
          <w:tcPr>
            <w:tcW w:w="274" w:type="pct"/>
            <w:shd w:val="clear" w:color="auto" w:fill="auto"/>
            <w:noWrap/>
            <w:vAlign w:val="center"/>
            <w:hideMark/>
          </w:tcPr>
          <w:p w14:paraId="24C0346E"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auto"/>
            <w:noWrap/>
            <w:vAlign w:val="center"/>
            <w:hideMark/>
          </w:tcPr>
          <w:p w14:paraId="7CA8280A"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c>
          <w:tcPr>
            <w:tcW w:w="274" w:type="pct"/>
            <w:shd w:val="clear" w:color="auto" w:fill="F2F2F2" w:themeFill="background1" w:themeFillShade="F2"/>
            <w:noWrap/>
            <w:vAlign w:val="center"/>
            <w:hideMark/>
          </w:tcPr>
          <w:p w14:paraId="5A14FDCB"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F2F2F2" w:themeFill="background1" w:themeFillShade="F2"/>
            <w:noWrap/>
            <w:vAlign w:val="center"/>
            <w:hideMark/>
          </w:tcPr>
          <w:p w14:paraId="72593FD1"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c>
          <w:tcPr>
            <w:tcW w:w="274" w:type="pct"/>
            <w:shd w:val="clear" w:color="auto" w:fill="auto"/>
            <w:noWrap/>
            <w:vAlign w:val="center"/>
            <w:hideMark/>
          </w:tcPr>
          <w:p w14:paraId="64F2246B"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auto"/>
            <w:noWrap/>
            <w:vAlign w:val="center"/>
            <w:hideMark/>
          </w:tcPr>
          <w:p w14:paraId="386C0180"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c>
          <w:tcPr>
            <w:tcW w:w="274" w:type="pct"/>
            <w:shd w:val="clear" w:color="auto" w:fill="F2F2F2" w:themeFill="background1" w:themeFillShade="F2"/>
            <w:noWrap/>
            <w:vAlign w:val="center"/>
            <w:hideMark/>
          </w:tcPr>
          <w:p w14:paraId="2282632B"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F2F2F2" w:themeFill="background1" w:themeFillShade="F2"/>
            <w:noWrap/>
            <w:vAlign w:val="center"/>
            <w:hideMark/>
          </w:tcPr>
          <w:p w14:paraId="7F233006"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r>
      <w:tr w:rsidR="00F53AB2" w:rsidRPr="007B3AE5" w14:paraId="77539C7E" w14:textId="77777777" w:rsidTr="002263D5">
        <w:trPr>
          <w:trHeight w:val="290"/>
        </w:trPr>
        <w:tc>
          <w:tcPr>
            <w:tcW w:w="199" w:type="pct"/>
            <w:shd w:val="clear" w:color="auto" w:fill="auto"/>
            <w:noWrap/>
            <w:vAlign w:val="center"/>
            <w:hideMark/>
          </w:tcPr>
          <w:p w14:paraId="1CF5186C" w14:textId="77777777" w:rsidR="00F53AB2" w:rsidRPr="00E51207" w:rsidRDefault="00F53AB2" w:rsidP="003C3DAA">
            <w:pPr>
              <w:jc w:val="right"/>
              <w:rPr>
                <w:color w:val="000000"/>
                <w:sz w:val="16"/>
                <w:szCs w:val="16"/>
              </w:rPr>
            </w:pPr>
            <w:r w:rsidRPr="00E51207">
              <w:rPr>
                <w:color w:val="000000"/>
                <w:sz w:val="16"/>
                <w:szCs w:val="16"/>
              </w:rPr>
              <w:t>75.</w:t>
            </w:r>
          </w:p>
        </w:tc>
        <w:tc>
          <w:tcPr>
            <w:tcW w:w="2060" w:type="pct"/>
            <w:shd w:val="clear" w:color="auto" w:fill="auto"/>
            <w:noWrap/>
            <w:vAlign w:val="center"/>
            <w:hideMark/>
          </w:tcPr>
          <w:p w14:paraId="01B6A607" w14:textId="77777777" w:rsidR="00F53AB2" w:rsidRPr="00E51207" w:rsidRDefault="00F53AB2" w:rsidP="003C3DAA">
            <w:pPr>
              <w:rPr>
                <w:color w:val="000000"/>
                <w:sz w:val="16"/>
                <w:szCs w:val="16"/>
              </w:rPr>
            </w:pPr>
            <w:r w:rsidRPr="00E51207">
              <w:rPr>
                <w:color w:val="000000"/>
                <w:sz w:val="16"/>
                <w:szCs w:val="16"/>
              </w:rPr>
              <w:t>Direkcija za evropske integracije BiH</w:t>
            </w:r>
          </w:p>
        </w:tc>
        <w:tc>
          <w:tcPr>
            <w:tcW w:w="274" w:type="pct"/>
            <w:shd w:val="clear" w:color="auto" w:fill="F2F2F2" w:themeFill="background1" w:themeFillShade="F2"/>
            <w:noWrap/>
            <w:vAlign w:val="center"/>
            <w:hideMark/>
          </w:tcPr>
          <w:p w14:paraId="570C1642"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F2F2F2" w:themeFill="background1" w:themeFillShade="F2"/>
            <w:noWrap/>
            <w:vAlign w:val="center"/>
            <w:hideMark/>
          </w:tcPr>
          <w:p w14:paraId="05BED945"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c>
          <w:tcPr>
            <w:tcW w:w="274" w:type="pct"/>
            <w:shd w:val="clear" w:color="auto" w:fill="auto"/>
            <w:noWrap/>
            <w:vAlign w:val="center"/>
            <w:hideMark/>
          </w:tcPr>
          <w:p w14:paraId="05A1D6C8"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auto"/>
            <w:noWrap/>
            <w:vAlign w:val="center"/>
            <w:hideMark/>
          </w:tcPr>
          <w:p w14:paraId="2CB9584D"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c>
          <w:tcPr>
            <w:tcW w:w="274" w:type="pct"/>
            <w:shd w:val="clear" w:color="auto" w:fill="F2F2F2" w:themeFill="background1" w:themeFillShade="F2"/>
            <w:noWrap/>
            <w:vAlign w:val="center"/>
            <w:hideMark/>
          </w:tcPr>
          <w:p w14:paraId="5D7D4ACD"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F2F2F2" w:themeFill="background1" w:themeFillShade="F2"/>
            <w:noWrap/>
            <w:vAlign w:val="center"/>
            <w:hideMark/>
          </w:tcPr>
          <w:p w14:paraId="2AAB8998"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c>
          <w:tcPr>
            <w:tcW w:w="274" w:type="pct"/>
            <w:shd w:val="clear" w:color="auto" w:fill="auto"/>
            <w:noWrap/>
            <w:vAlign w:val="center"/>
            <w:hideMark/>
          </w:tcPr>
          <w:p w14:paraId="11CA4E02"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auto"/>
            <w:noWrap/>
            <w:vAlign w:val="center"/>
            <w:hideMark/>
          </w:tcPr>
          <w:p w14:paraId="191F68A3"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c>
          <w:tcPr>
            <w:tcW w:w="274" w:type="pct"/>
            <w:shd w:val="clear" w:color="auto" w:fill="F2F2F2" w:themeFill="background1" w:themeFillShade="F2"/>
            <w:noWrap/>
            <w:vAlign w:val="center"/>
            <w:hideMark/>
          </w:tcPr>
          <w:p w14:paraId="64FDFABF"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F2F2F2" w:themeFill="background1" w:themeFillShade="F2"/>
            <w:noWrap/>
            <w:vAlign w:val="center"/>
            <w:hideMark/>
          </w:tcPr>
          <w:p w14:paraId="7E8960CD"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r>
      <w:tr w:rsidR="00F53AB2" w:rsidRPr="007B3AE5" w14:paraId="3DFBADB1" w14:textId="77777777" w:rsidTr="002263D5">
        <w:trPr>
          <w:trHeight w:val="290"/>
        </w:trPr>
        <w:tc>
          <w:tcPr>
            <w:tcW w:w="199" w:type="pct"/>
            <w:shd w:val="clear" w:color="auto" w:fill="auto"/>
            <w:noWrap/>
            <w:vAlign w:val="center"/>
            <w:hideMark/>
          </w:tcPr>
          <w:p w14:paraId="5DA79012" w14:textId="77777777" w:rsidR="00F53AB2" w:rsidRPr="00E51207" w:rsidRDefault="00F53AB2" w:rsidP="003C3DAA">
            <w:pPr>
              <w:jc w:val="right"/>
              <w:rPr>
                <w:color w:val="000000"/>
                <w:sz w:val="16"/>
                <w:szCs w:val="16"/>
              </w:rPr>
            </w:pPr>
            <w:r w:rsidRPr="00E51207">
              <w:rPr>
                <w:color w:val="000000"/>
                <w:sz w:val="16"/>
                <w:szCs w:val="16"/>
              </w:rPr>
              <w:t>76.</w:t>
            </w:r>
          </w:p>
        </w:tc>
        <w:tc>
          <w:tcPr>
            <w:tcW w:w="2060" w:type="pct"/>
            <w:shd w:val="clear" w:color="auto" w:fill="auto"/>
            <w:noWrap/>
            <w:vAlign w:val="center"/>
            <w:hideMark/>
          </w:tcPr>
          <w:p w14:paraId="004EFDF3" w14:textId="77777777" w:rsidR="00F53AB2" w:rsidRPr="00E51207" w:rsidRDefault="00F53AB2" w:rsidP="003C3DAA">
            <w:pPr>
              <w:rPr>
                <w:color w:val="000000"/>
                <w:sz w:val="16"/>
                <w:szCs w:val="16"/>
              </w:rPr>
            </w:pPr>
            <w:r w:rsidRPr="00E51207">
              <w:rPr>
                <w:color w:val="000000"/>
                <w:sz w:val="16"/>
                <w:szCs w:val="16"/>
              </w:rPr>
              <w:t>Ured koordinatora za reformu javne uprave BiH</w:t>
            </w:r>
          </w:p>
        </w:tc>
        <w:tc>
          <w:tcPr>
            <w:tcW w:w="274" w:type="pct"/>
            <w:shd w:val="clear" w:color="auto" w:fill="F2F2F2" w:themeFill="background1" w:themeFillShade="F2"/>
            <w:noWrap/>
            <w:vAlign w:val="center"/>
            <w:hideMark/>
          </w:tcPr>
          <w:p w14:paraId="71710CF8"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F2F2F2" w:themeFill="background1" w:themeFillShade="F2"/>
            <w:noWrap/>
            <w:vAlign w:val="center"/>
            <w:hideMark/>
          </w:tcPr>
          <w:p w14:paraId="190B810E"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c>
          <w:tcPr>
            <w:tcW w:w="274" w:type="pct"/>
            <w:shd w:val="clear" w:color="auto" w:fill="auto"/>
            <w:noWrap/>
            <w:vAlign w:val="center"/>
            <w:hideMark/>
          </w:tcPr>
          <w:p w14:paraId="6962BACB"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auto"/>
            <w:noWrap/>
            <w:vAlign w:val="center"/>
            <w:hideMark/>
          </w:tcPr>
          <w:p w14:paraId="0BA4ED3E"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c>
          <w:tcPr>
            <w:tcW w:w="274" w:type="pct"/>
            <w:shd w:val="clear" w:color="auto" w:fill="F2F2F2" w:themeFill="background1" w:themeFillShade="F2"/>
            <w:noWrap/>
            <w:vAlign w:val="center"/>
            <w:hideMark/>
          </w:tcPr>
          <w:p w14:paraId="512E21CA"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F2F2F2" w:themeFill="background1" w:themeFillShade="F2"/>
            <w:noWrap/>
            <w:vAlign w:val="center"/>
            <w:hideMark/>
          </w:tcPr>
          <w:p w14:paraId="71D31A0C"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c>
          <w:tcPr>
            <w:tcW w:w="274" w:type="pct"/>
            <w:shd w:val="clear" w:color="auto" w:fill="auto"/>
            <w:noWrap/>
            <w:vAlign w:val="center"/>
            <w:hideMark/>
          </w:tcPr>
          <w:p w14:paraId="4A9B2C21" w14:textId="77777777" w:rsidR="00F53AB2" w:rsidRPr="00E51207" w:rsidRDefault="00F53AB2" w:rsidP="003C3DAA">
            <w:pPr>
              <w:jc w:val="center"/>
              <w:rPr>
                <w:color w:val="000000"/>
                <w:sz w:val="16"/>
                <w:szCs w:val="16"/>
              </w:rPr>
            </w:pPr>
            <w:r w:rsidRPr="00E51207">
              <w:rPr>
                <w:color w:val="000000"/>
                <w:sz w:val="16"/>
                <w:szCs w:val="16"/>
              </w:rPr>
              <w:t>35/38</w:t>
            </w:r>
          </w:p>
        </w:tc>
        <w:tc>
          <w:tcPr>
            <w:tcW w:w="274" w:type="pct"/>
            <w:shd w:val="clear" w:color="auto" w:fill="auto"/>
            <w:noWrap/>
            <w:vAlign w:val="center"/>
            <w:hideMark/>
          </w:tcPr>
          <w:p w14:paraId="3DF8CBE0"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c>
          <w:tcPr>
            <w:tcW w:w="274" w:type="pct"/>
            <w:shd w:val="clear" w:color="auto" w:fill="F2F2F2" w:themeFill="background1" w:themeFillShade="F2"/>
            <w:noWrap/>
            <w:vAlign w:val="center"/>
            <w:hideMark/>
          </w:tcPr>
          <w:p w14:paraId="0CB21AB5" w14:textId="77777777" w:rsidR="00F53AB2" w:rsidRPr="00E51207" w:rsidRDefault="00F53AB2" w:rsidP="003C3DAA">
            <w:pPr>
              <w:jc w:val="center"/>
              <w:rPr>
                <w:color w:val="000000"/>
                <w:sz w:val="16"/>
                <w:szCs w:val="16"/>
              </w:rPr>
            </w:pPr>
            <w:r w:rsidRPr="00E51207">
              <w:rPr>
                <w:color w:val="000000"/>
                <w:sz w:val="16"/>
                <w:szCs w:val="16"/>
              </w:rPr>
              <w:t>38/38</w:t>
            </w:r>
          </w:p>
        </w:tc>
        <w:tc>
          <w:tcPr>
            <w:tcW w:w="274" w:type="pct"/>
            <w:shd w:val="clear" w:color="auto" w:fill="F2F2F2" w:themeFill="background1" w:themeFillShade="F2"/>
            <w:noWrap/>
            <w:vAlign w:val="center"/>
            <w:hideMark/>
          </w:tcPr>
          <w:p w14:paraId="27B74C6D" w14:textId="77777777" w:rsidR="00F53AB2" w:rsidRPr="00E51207" w:rsidRDefault="00F53AB2" w:rsidP="003C3DAA">
            <w:pPr>
              <w:jc w:val="right"/>
              <w:rPr>
                <w:color w:val="000000"/>
                <w:sz w:val="16"/>
                <w:szCs w:val="16"/>
              </w:rPr>
            </w:pPr>
            <w:r w:rsidRPr="00E51207">
              <w:rPr>
                <w:color w:val="000000"/>
                <w:sz w:val="16"/>
                <w:szCs w:val="16"/>
              </w:rPr>
              <w:t>100</w:t>
            </w:r>
            <w:r>
              <w:rPr>
                <w:color w:val="000000"/>
                <w:sz w:val="16"/>
                <w:szCs w:val="16"/>
              </w:rPr>
              <w:t>,00</w:t>
            </w:r>
            <w:r w:rsidRPr="00E51207">
              <w:rPr>
                <w:color w:val="000000"/>
                <w:sz w:val="16"/>
                <w:szCs w:val="16"/>
              </w:rPr>
              <w:t>%</w:t>
            </w:r>
          </w:p>
        </w:tc>
      </w:tr>
    </w:tbl>
    <w:p w14:paraId="7B432CB3" w14:textId="77777777" w:rsidR="00F53AB2" w:rsidRPr="00E51207" w:rsidRDefault="00F53AB2" w:rsidP="00F53AB2">
      <w:pPr>
        <w:spacing w:line="276" w:lineRule="auto"/>
        <w:jc w:val="center"/>
        <w:rPr>
          <w:i/>
          <w:sz w:val="4"/>
          <w:szCs w:val="4"/>
        </w:rPr>
      </w:pPr>
    </w:p>
    <w:p w14:paraId="5B16C137" w14:textId="77777777" w:rsidR="00F53AB2" w:rsidRDefault="00F53AB2" w:rsidP="00F53AB2">
      <w:pPr>
        <w:spacing w:line="276" w:lineRule="auto"/>
        <w:jc w:val="center"/>
        <w:rPr>
          <w:lang w:val="de-DE"/>
        </w:rPr>
        <w:sectPr w:rsidR="00F53AB2" w:rsidSect="003C3DAA">
          <w:headerReference w:type="first" r:id="rId17"/>
          <w:pgSz w:w="16838" w:h="11906" w:orient="landscape" w:code="9"/>
          <w:pgMar w:top="1311" w:right="1134" w:bottom="905" w:left="1134" w:header="567" w:footer="567" w:gutter="0"/>
          <w:cols w:space="720"/>
          <w:titlePg/>
          <w:docGrid w:linePitch="326"/>
        </w:sectPr>
      </w:pPr>
      <w:r>
        <w:rPr>
          <w:i/>
          <w:sz w:val="18"/>
          <w:szCs w:val="18"/>
        </w:rPr>
        <w:t>Tabela 2</w:t>
      </w:r>
      <w:r w:rsidRPr="002906A5">
        <w:rPr>
          <w:i/>
          <w:sz w:val="18"/>
          <w:szCs w:val="18"/>
        </w:rPr>
        <w:t xml:space="preserve"> - </w:t>
      </w:r>
      <w:r>
        <w:rPr>
          <w:i/>
          <w:sz w:val="18"/>
          <w:szCs w:val="18"/>
        </w:rPr>
        <w:t>Uporedni p</w:t>
      </w:r>
      <w:r w:rsidRPr="002906A5">
        <w:rPr>
          <w:i/>
          <w:sz w:val="18"/>
          <w:szCs w:val="18"/>
        </w:rPr>
        <w:t>regled ispunjenosti standarda po institucijama</w:t>
      </w:r>
      <w:r>
        <w:rPr>
          <w:i/>
          <w:sz w:val="18"/>
          <w:szCs w:val="18"/>
        </w:rPr>
        <w:t xml:space="preserve"> koje su dostavile informacije za bar jedno od pet istraživanja</w:t>
      </w:r>
    </w:p>
    <w:p w14:paraId="12FF544B" w14:textId="77777777" w:rsidR="00F53AB2" w:rsidRDefault="00F53AB2" w:rsidP="00F53AB2">
      <w:pPr>
        <w:jc w:val="both"/>
        <w:rPr>
          <w:b/>
          <w:i/>
          <w:sz w:val="22"/>
          <w:szCs w:val="22"/>
          <w:u w:val="single"/>
        </w:rPr>
      </w:pPr>
    </w:p>
    <w:p w14:paraId="77C6A373" w14:textId="42F912EB" w:rsidR="00B600DA" w:rsidRDefault="00B600DA" w:rsidP="00E36E1B">
      <w:pPr>
        <w:jc w:val="both"/>
        <w:rPr>
          <w:b/>
          <w:i/>
          <w:sz w:val="22"/>
          <w:szCs w:val="22"/>
          <w:u w:val="single"/>
        </w:rPr>
      </w:pPr>
    </w:p>
    <w:p w14:paraId="0E8D973D" w14:textId="7EE98455" w:rsidR="00D46E91" w:rsidRDefault="00D46E91" w:rsidP="00D46E91">
      <w:pPr>
        <w:rPr>
          <w:b/>
          <w:u w:val="single"/>
          <w:lang w:val="sr-Latn-CS"/>
        </w:rPr>
      </w:pPr>
      <w:r>
        <w:rPr>
          <w:b/>
          <w:u w:val="single"/>
        </w:rPr>
        <w:t>PROKTIVNA TRANSPARENTNOST</w:t>
      </w:r>
      <w:r w:rsidR="00574531">
        <w:rPr>
          <w:b/>
          <w:u w:val="single"/>
        </w:rPr>
        <w:t xml:space="preserve">, </w:t>
      </w:r>
      <w:r>
        <w:rPr>
          <w:b/>
          <w:u w:val="single"/>
          <w:lang w:val="sr-Latn-CS"/>
        </w:rPr>
        <w:t>STRATEŠKI OKVIR ZA REFORMU JAVNE UPRAVE U BOSNI I HERCEGOVINI 2018 – 2022.</w:t>
      </w:r>
      <w:r w:rsidR="00574531">
        <w:rPr>
          <w:b/>
          <w:u w:val="single"/>
          <w:lang w:val="sr-Latn-CS"/>
        </w:rPr>
        <w:t xml:space="preserve"> </w:t>
      </w:r>
      <w:r w:rsidR="00AE4A9B">
        <w:rPr>
          <w:b/>
          <w:u w:val="single"/>
          <w:lang w:val="sr-Latn-CS"/>
        </w:rPr>
        <w:t xml:space="preserve">, </w:t>
      </w:r>
      <w:r w:rsidR="00574531">
        <w:rPr>
          <w:b/>
          <w:u w:val="single"/>
          <w:lang w:val="sr-Latn-CS"/>
        </w:rPr>
        <w:t xml:space="preserve">AKCIONI PLAN </w:t>
      </w:r>
      <w:r w:rsidR="00AE4A9B">
        <w:rPr>
          <w:b/>
          <w:u w:val="single"/>
          <w:lang w:val="sr-Latn-CS"/>
        </w:rPr>
        <w:t xml:space="preserve">VIJEĆA MINISTARA BIH </w:t>
      </w:r>
      <w:r w:rsidR="00574531">
        <w:rPr>
          <w:b/>
          <w:u w:val="single"/>
          <w:lang w:val="sr-Latn-CS"/>
        </w:rPr>
        <w:t>ZA PROVEDBU INICIJATIVE PARTNERSTVO ZA OTVORENU VLAST U BIH</w:t>
      </w:r>
      <w:r w:rsidR="00AE4A9B">
        <w:rPr>
          <w:b/>
          <w:u w:val="single"/>
          <w:lang w:val="sr-Latn-CS"/>
        </w:rPr>
        <w:t xml:space="preserve"> 2022.-2024. I ZAKON O SLOBODI PRISTUPA INFORMACIJAMA NA NIVOU INSTITUCIJA BIH</w:t>
      </w:r>
    </w:p>
    <w:p w14:paraId="68EFC36B" w14:textId="77777777" w:rsidR="00D46E91" w:rsidRDefault="00D46E91" w:rsidP="00D46E91">
      <w:pPr>
        <w:jc w:val="both"/>
      </w:pPr>
    </w:p>
    <w:p w14:paraId="5128CBEB" w14:textId="77777777" w:rsidR="00D46E91" w:rsidRDefault="00D46E91" w:rsidP="00D46E91">
      <w:pPr>
        <w:spacing w:line="276" w:lineRule="auto"/>
        <w:jc w:val="both"/>
      </w:pPr>
      <w:r>
        <w:rPr>
          <w:lang w:val="bs-Latn-BA"/>
        </w:rPr>
        <w:t xml:space="preserve">Ured koordinatora za reformu javne uprave, u potpunosti opredjeljen za povećanje otvorenosti rada te jačanju povjerenja javnosti u rad i prevenciji korupcije, izradio je i usvojio  interni akt „Pravilnik o proaktivnoj objavi informacija Ureda koordinatora za reformu javne uprave“. Proaktivnom objavom informacija obezbjeđuje se pravo javnosti da zna kakve odluke donosi rukovodilac Ureda, koja su strateška opredjeljenja rada institucije, te kako se troši budžetski novac, a sve u cilju vršenja demokratske kontrole vlasti i ostvarivanju ljudskih prava i sloboda. </w:t>
      </w:r>
    </w:p>
    <w:p w14:paraId="2523CD5D" w14:textId="77777777" w:rsidR="00D46E91" w:rsidRDefault="00D46E91" w:rsidP="00D46E91">
      <w:pPr>
        <w:spacing w:line="276" w:lineRule="auto"/>
        <w:jc w:val="both"/>
        <w:rPr>
          <w:lang w:val="bs-Latn-BA"/>
        </w:rPr>
      </w:pPr>
    </w:p>
    <w:p w14:paraId="698A3E34" w14:textId="77777777" w:rsidR="00D46E91" w:rsidRDefault="00D46E91" w:rsidP="00D46E91">
      <w:pPr>
        <w:spacing w:line="276" w:lineRule="auto"/>
        <w:jc w:val="both"/>
        <w:rPr>
          <w:lang w:val="bs-Latn-BA"/>
        </w:rPr>
      </w:pPr>
      <w:r>
        <w:rPr>
          <w:lang w:val="bs-Latn-BA"/>
        </w:rPr>
        <w:t xml:space="preserve">Pozitivno mišljenje na ovaj interni akt dala je Agencija za zaštitu ličnih podataka BiH. </w:t>
      </w:r>
    </w:p>
    <w:p w14:paraId="77812D6D" w14:textId="77777777" w:rsidR="00D46E91" w:rsidRDefault="00D46E91" w:rsidP="00D46E91">
      <w:pPr>
        <w:spacing w:line="276" w:lineRule="auto"/>
        <w:jc w:val="both"/>
        <w:rPr>
          <w:lang w:val="bs-Latn-BA"/>
        </w:rPr>
      </w:pPr>
    </w:p>
    <w:p w14:paraId="237F1642" w14:textId="011599A9" w:rsidR="00574531" w:rsidRDefault="00D46E91" w:rsidP="00D46E91">
      <w:pPr>
        <w:spacing w:line="276" w:lineRule="auto"/>
        <w:jc w:val="both"/>
      </w:pPr>
      <w:r>
        <w:rPr>
          <w:lang w:val="bs-Latn-BA"/>
        </w:rPr>
        <w:t xml:space="preserve">Svjesni važnosti provedbe reforme javne uprave, a koja kroz Strateški okvir </w:t>
      </w:r>
      <w:r>
        <w:rPr>
          <w:lang w:val="sr-Latn-CS"/>
        </w:rPr>
        <w:t xml:space="preserve">za reformu javne uprave u BiH </w:t>
      </w:r>
      <w:r>
        <w:rPr>
          <w:lang w:val="bs-Latn-BA"/>
        </w:rPr>
        <w:t xml:space="preserve">2018-2022. u oblastima odgovornosti, strateškog planiranja i koordinacije politike, te državne službe uključuje i mjere koje se odnose na principe proaktivne transparentnosti, potrebno je da institucije uprave nastave su da ažuriraju podatke na njihovim web stranicama te da </w:t>
      </w:r>
      <w:r>
        <w:t xml:space="preserve">objavljuju za javnost relevantne informacije koje se nalaze u njihovom posjedu, a odnose se na Standarde proaktivne transparentnosti.  </w:t>
      </w:r>
    </w:p>
    <w:p w14:paraId="6B165A0A" w14:textId="0D4C508B" w:rsidR="00574531" w:rsidRDefault="00574531" w:rsidP="00D46E91">
      <w:pPr>
        <w:spacing w:line="276" w:lineRule="auto"/>
        <w:jc w:val="both"/>
        <w:rPr>
          <w:lang w:val="sr-Latn-CS"/>
        </w:rPr>
      </w:pPr>
      <w:r>
        <w:t xml:space="preserve">Ured koordinatora za reformu javne uprave kroz Akcioni plan Vijeća ministara BiH za provedbu Inicijative Partnerstvo za otvorenu vlast za period 2022.-2024. godina implementira mjeru „ Unaprjeđenje transparentnosti u institucijama BiH“. U okviru ove mjere provode se aktivnosti na istraživanju transparentnosti među institucijama Bosne i Hercegovine kao i aktivnosti na unapređenju kapaciteta državnih službenika za provedbu transparentnosti unutar institucija.    </w:t>
      </w:r>
    </w:p>
    <w:p w14:paraId="04682C37" w14:textId="77777777" w:rsidR="0006437B" w:rsidRDefault="0006437B" w:rsidP="00D46E91">
      <w:pPr>
        <w:spacing w:line="276" w:lineRule="auto"/>
        <w:jc w:val="both"/>
      </w:pPr>
    </w:p>
    <w:p w14:paraId="11370CEA" w14:textId="4EB8036C" w:rsidR="00D46E91" w:rsidRDefault="00AE4A9B" w:rsidP="00D46E91">
      <w:pPr>
        <w:spacing w:line="276" w:lineRule="auto"/>
        <w:jc w:val="both"/>
      </w:pPr>
      <w:r>
        <w:t xml:space="preserve">Zakon o slobodi pristupa informacijama na nivou institucija BiH definiše koje vrste informacija od javnog značaja trebaju biti objavljene na web stranicama institucija i to u mašinski čitljivom formatu. </w:t>
      </w:r>
    </w:p>
    <w:p w14:paraId="47444174" w14:textId="77777777" w:rsidR="00AE4A9B" w:rsidRDefault="00AE4A9B" w:rsidP="00D46E91">
      <w:pPr>
        <w:spacing w:line="276" w:lineRule="auto"/>
        <w:jc w:val="both"/>
      </w:pPr>
    </w:p>
    <w:p w14:paraId="07F7304C" w14:textId="77777777" w:rsidR="00D46E91" w:rsidRDefault="00D46E91" w:rsidP="00D46E91">
      <w:pPr>
        <w:spacing w:line="276" w:lineRule="auto"/>
        <w:jc w:val="both"/>
      </w:pPr>
      <w:r>
        <w:t xml:space="preserve">Proaktivna objava informacija od javnog značaja direktno doprinosi ostvarivanju koncepta dobre uprave u BiH, vraća povjerenje javnosti u rad državnih institucija, a građanima omogućava veću informisanost radi ostvarivanja njihove participacije u radu javne uprave.   </w:t>
      </w:r>
    </w:p>
    <w:p w14:paraId="31048B6F" w14:textId="77777777" w:rsidR="00D46E91" w:rsidRDefault="00D46E91" w:rsidP="00D46E91">
      <w:pPr>
        <w:spacing w:line="276" w:lineRule="auto"/>
        <w:jc w:val="both"/>
      </w:pPr>
    </w:p>
    <w:p w14:paraId="765479C2" w14:textId="21CFFB9E" w:rsidR="00B600DA" w:rsidRDefault="00B600DA" w:rsidP="00E36E1B">
      <w:pPr>
        <w:jc w:val="both"/>
        <w:rPr>
          <w:b/>
          <w:i/>
          <w:sz w:val="22"/>
          <w:szCs w:val="22"/>
          <w:u w:val="single"/>
        </w:rPr>
      </w:pPr>
    </w:p>
    <w:p w14:paraId="42F4A4DB" w14:textId="3E6531D6" w:rsidR="00B600DA" w:rsidRDefault="00B600DA" w:rsidP="00E36E1B">
      <w:pPr>
        <w:jc w:val="both"/>
        <w:rPr>
          <w:b/>
          <w:i/>
          <w:sz w:val="22"/>
          <w:szCs w:val="22"/>
          <w:u w:val="single"/>
        </w:rPr>
      </w:pPr>
    </w:p>
    <w:p w14:paraId="4B35B522" w14:textId="6672C3BF" w:rsidR="00B600DA" w:rsidRDefault="00B600DA" w:rsidP="00E36E1B">
      <w:pPr>
        <w:jc w:val="both"/>
        <w:rPr>
          <w:b/>
          <w:i/>
          <w:sz w:val="22"/>
          <w:szCs w:val="22"/>
          <w:u w:val="single"/>
        </w:rPr>
      </w:pPr>
    </w:p>
    <w:p w14:paraId="5BCC73E4" w14:textId="4D86D52F" w:rsidR="00B600DA" w:rsidRDefault="00B600DA" w:rsidP="00E36E1B">
      <w:pPr>
        <w:jc w:val="both"/>
        <w:rPr>
          <w:b/>
          <w:i/>
          <w:sz w:val="22"/>
          <w:szCs w:val="22"/>
          <w:u w:val="single"/>
        </w:rPr>
      </w:pPr>
    </w:p>
    <w:p w14:paraId="48AD405E" w14:textId="77777777" w:rsidR="00B600DA" w:rsidRDefault="00B600DA" w:rsidP="00E36E1B">
      <w:pPr>
        <w:jc w:val="both"/>
        <w:rPr>
          <w:b/>
          <w:i/>
          <w:sz w:val="22"/>
          <w:szCs w:val="22"/>
          <w:u w:val="single"/>
        </w:rPr>
      </w:pPr>
    </w:p>
    <w:p w14:paraId="0C0B0A40" w14:textId="77777777" w:rsidR="00A54050" w:rsidRDefault="00A54050" w:rsidP="0039190B">
      <w:pPr>
        <w:jc w:val="both"/>
        <w:rPr>
          <w:b/>
          <w:u w:val="single"/>
        </w:rPr>
      </w:pPr>
    </w:p>
    <w:p w14:paraId="1E94DE31" w14:textId="77777777" w:rsidR="00A54050" w:rsidRDefault="00A54050" w:rsidP="004F2048">
      <w:pPr>
        <w:jc w:val="center"/>
        <w:rPr>
          <w:b/>
          <w:u w:val="single"/>
        </w:rPr>
      </w:pPr>
    </w:p>
    <w:sectPr w:rsidR="00A54050" w:rsidSect="008F4B54">
      <w:footerReference w:type="even" r:id="rId18"/>
      <w:headerReference w:type="first" r:id="rId19"/>
      <w:footerReference w:type="first" r:id="rId20"/>
      <w:pgSz w:w="11906" w:h="16838" w:code="9"/>
      <w:pgMar w:top="1134" w:right="905" w:bottom="1134" w:left="1311" w:header="567" w:footer="567"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D17A" w16cex:dateUtc="2021-06-16T1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013327" w16cid:durableId="2474D17A"/>
  <w16cid:commentId w16cid:paraId="124EEA51" w16cid:durableId="2474C7D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1196D" w14:textId="77777777" w:rsidR="00F50FD7" w:rsidRDefault="00F50FD7">
      <w:r>
        <w:separator/>
      </w:r>
    </w:p>
  </w:endnote>
  <w:endnote w:type="continuationSeparator" w:id="0">
    <w:p w14:paraId="4CBECDD7" w14:textId="77777777" w:rsidR="00F50FD7" w:rsidRDefault="00F5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C3AD" w14:textId="37375B0E" w:rsidR="0006437B" w:rsidRDefault="0006437B">
    <w:pPr>
      <w:pStyle w:val="Footer"/>
    </w:pPr>
    <w:r>
      <w:rPr>
        <w:noProof/>
        <w:szCs w:val="18"/>
        <w:lang w:val="bs-Latn-BA" w:eastAsia="bs-Latn-BA"/>
      </w:rPr>
      <w:drawing>
        <wp:inline distT="0" distB="0" distL="0" distR="0" wp14:anchorId="61AD012D" wp14:editId="7C0DB40C">
          <wp:extent cx="6153150" cy="539750"/>
          <wp:effectExtent l="0" t="0" r="0" b="0"/>
          <wp:docPr id="9" name="Picture 9" descr="mem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m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539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F0071" w14:textId="77777777" w:rsidR="0006437B" w:rsidRDefault="00064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00CAC3" w14:textId="77777777" w:rsidR="0006437B" w:rsidRDefault="0006437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0D18" w14:textId="25C9510E" w:rsidR="0006437B" w:rsidRPr="00473440" w:rsidRDefault="0006437B" w:rsidP="00473440">
    <w:pPr>
      <w:pStyle w:val="Footer"/>
      <w:rPr>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3F191" w14:textId="77777777" w:rsidR="00F50FD7" w:rsidRDefault="00F50FD7">
      <w:r>
        <w:separator/>
      </w:r>
    </w:p>
  </w:footnote>
  <w:footnote w:type="continuationSeparator" w:id="0">
    <w:p w14:paraId="492B587E" w14:textId="77777777" w:rsidR="00F50FD7" w:rsidRDefault="00F50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tblBorders>
      <w:tblLayout w:type="fixed"/>
      <w:tblLook w:val="01E0" w:firstRow="1" w:lastRow="1" w:firstColumn="1" w:lastColumn="1" w:noHBand="0" w:noVBand="0"/>
    </w:tblPr>
    <w:tblGrid>
      <w:gridCol w:w="4275"/>
      <w:gridCol w:w="1026"/>
      <w:gridCol w:w="4161"/>
    </w:tblGrid>
    <w:tr w:rsidR="0006437B" w:rsidRPr="00D36898" w14:paraId="609FB3B1" w14:textId="77777777" w:rsidTr="003C3DAA">
      <w:trPr>
        <w:cantSplit/>
      </w:trPr>
      <w:tc>
        <w:tcPr>
          <w:tcW w:w="4275" w:type="dxa"/>
        </w:tcPr>
        <w:p w14:paraId="4010C2A1" w14:textId="77777777" w:rsidR="0006437B" w:rsidRPr="00D36898" w:rsidRDefault="0006437B" w:rsidP="002263D5">
          <w:pPr>
            <w:pStyle w:val="NormalIndent"/>
            <w:ind w:left="0"/>
            <w:jc w:val="center"/>
            <w:rPr>
              <w:position w:val="14"/>
              <w:sz w:val="16"/>
              <w:lang w:val="ru-RU"/>
            </w:rPr>
          </w:pPr>
          <w:r>
            <w:rPr>
              <w:position w:val="14"/>
              <w:sz w:val="22"/>
              <w:lang w:val="ru-RU"/>
            </w:rPr>
            <w:t>BO</w:t>
          </w:r>
          <w:r>
            <w:rPr>
              <w:position w:val="14"/>
              <w:sz w:val="22"/>
            </w:rPr>
            <w:t>S</w:t>
          </w:r>
          <w:r w:rsidRPr="00D36898">
            <w:rPr>
              <w:position w:val="14"/>
              <w:sz w:val="22"/>
              <w:lang w:val="ru-RU"/>
            </w:rPr>
            <w:t>NA I HERCEGOVINA</w:t>
          </w:r>
        </w:p>
      </w:tc>
      <w:tc>
        <w:tcPr>
          <w:tcW w:w="1026" w:type="dxa"/>
          <w:vMerge w:val="restart"/>
          <w:vAlign w:val="center"/>
        </w:tcPr>
        <w:p w14:paraId="5E07608B" w14:textId="77777777" w:rsidR="0006437B" w:rsidRPr="00D36898" w:rsidRDefault="0006437B" w:rsidP="002263D5">
          <w:pPr>
            <w:pStyle w:val="NormalIndent"/>
            <w:ind w:left="0"/>
            <w:rPr>
              <w:sz w:val="16"/>
              <w:lang w:val="ru-RU"/>
            </w:rPr>
          </w:pPr>
          <w:r w:rsidRPr="00D36898">
            <w:rPr>
              <w:lang w:val="ru-RU"/>
            </w:rPr>
            <w:object w:dxaOrig="750" w:dyaOrig="825" w14:anchorId="76AF5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1.25pt" o:borderbottomcolor="this" fillcolor="window">
                <v:imagedata r:id="rId1" o:title=""/>
              </v:shape>
              <o:OLEObject Type="Embed" ProgID="CorelDRAW.Graphic.9" ShapeID="_x0000_i1025" DrawAspect="Content" ObjectID="_1770627077" r:id="rId2"/>
            </w:object>
          </w:r>
        </w:p>
      </w:tc>
      <w:tc>
        <w:tcPr>
          <w:tcW w:w="4161" w:type="dxa"/>
        </w:tcPr>
        <w:p w14:paraId="5C0FAE54" w14:textId="77777777" w:rsidR="0006437B" w:rsidRPr="00D36898" w:rsidRDefault="0006437B" w:rsidP="002263D5">
          <w:pPr>
            <w:pStyle w:val="NormalIndent"/>
            <w:ind w:left="0"/>
            <w:jc w:val="center"/>
            <w:rPr>
              <w:sz w:val="16"/>
              <w:lang w:val="ru-RU"/>
            </w:rPr>
          </w:pPr>
          <w:r>
            <w:rPr>
              <w:sz w:val="22"/>
              <w:lang w:val="ru-RU"/>
            </w:rPr>
            <w:t>Б</w:t>
          </w:r>
          <w:r w:rsidRPr="00D36898">
            <w:rPr>
              <w:sz w:val="22"/>
              <w:lang w:val="ru-RU"/>
            </w:rPr>
            <w:t>ОСНА И ХЕРЦЕГОВИНА</w:t>
          </w:r>
        </w:p>
      </w:tc>
    </w:tr>
    <w:tr w:rsidR="0006437B" w:rsidRPr="00D36898" w14:paraId="5B4F7BAC" w14:textId="77777777" w:rsidTr="003C3DAA">
      <w:trPr>
        <w:cantSplit/>
      </w:trPr>
      <w:tc>
        <w:tcPr>
          <w:tcW w:w="4275" w:type="dxa"/>
        </w:tcPr>
        <w:p w14:paraId="69BD6BB5" w14:textId="77777777" w:rsidR="0006437B" w:rsidRPr="00A71DDB" w:rsidRDefault="0006437B" w:rsidP="002263D5">
          <w:pPr>
            <w:pStyle w:val="NormalIndent"/>
            <w:ind w:left="0"/>
            <w:jc w:val="center"/>
            <w:rPr>
              <w:b/>
              <w:position w:val="14"/>
              <w:sz w:val="20"/>
              <w:szCs w:val="20"/>
              <w:lang w:val="ru-RU"/>
            </w:rPr>
          </w:pPr>
          <w:r w:rsidRPr="00A71DDB">
            <w:rPr>
              <w:b/>
              <w:position w:val="14"/>
              <w:sz w:val="20"/>
              <w:szCs w:val="20"/>
              <w:lang w:val="ru-RU"/>
            </w:rPr>
            <w:t>VIJEĆE MINISTARA</w:t>
          </w:r>
        </w:p>
      </w:tc>
      <w:tc>
        <w:tcPr>
          <w:tcW w:w="1026" w:type="dxa"/>
          <w:vMerge/>
        </w:tcPr>
        <w:p w14:paraId="22D9F9DD" w14:textId="77777777" w:rsidR="0006437B" w:rsidRPr="00D36898" w:rsidRDefault="0006437B" w:rsidP="002263D5">
          <w:pPr>
            <w:pStyle w:val="NormalIndent"/>
            <w:ind w:left="0"/>
            <w:rPr>
              <w:sz w:val="16"/>
              <w:lang w:val="ru-RU"/>
            </w:rPr>
          </w:pPr>
        </w:p>
      </w:tc>
      <w:tc>
        <w:tcPr>
          <w:tcW w:w="4161" w:type="dxa"/>
        </w:tcPr>
        <w:p w14:paraId="1F535779" w14:textId="77777777" w:rsidR="0006437B" w:rsidRPr="00A71DDB" w:rsidRDefault="0006437B" w:rsidP="002263D5">
          <w:pPr>
            <w:pStyle w:val="NormalIndent"/>
            <w:ind w:left="0"/>
            <w:jc w:val="center"/>
            <w:rPr>
              <w:b/>
              <w:sz w:val="20"/>
              <w:szCs w:val="20"/>
              <w:lang w:val="ru-RU"/>
            </w:rPr>
          </w:pPr>
          <w:r w:rsidRPr="00A71DDB">
            <w:rPr>
              <w:b/>
              <w:sz w:val="20"/>
              <w:szCs w:val="20"/>
              <w:lang w:val="ru-RU"/>
            </w:rPr>
            <w:t>САВЈЕТ МИНИСТАРА</w:t>
          </w:r>
        </w:p>
      </w:tc>
    </w:tr>
    <w:tr w:rsidR="0006437B" w:rsidRPr="00D36898" w14:paraId="431C63DE" w14:textId="77777777" w:rsidTr="003C3DAA">
      <w:trPr>
        <w:cantSplit/>
        <w:trHeight w:val="470"/>
      </w:trPr>
      <w:tc>
        <w:tcPr>
          <w:tcW w:w="4275" w:type="dxa"/>
        </w:tcPr>
        <w:p w14:paraId="1348509A" w14:textId="77777777" w:rsidR="0006437B" w:rsidRPr="00AE65ED" w:rsidRDefault="0006437B" w:rsidP="002263D5">
          <w:pPr>
            <w:pStyle w:val="NormalIndent"/>
            <w:ind w:left="0"/>
            <w:jc w:val="center"/>
            <w:rPr>
              <w:b/>
              <w:bCs/>
              <w:i/>
              <w:iCs/>
              <w:position w:val="14"/>
              <w:sz w:val="16"/>
              <w:szCs w:val="16"/>
            </w:rPr>
          </w:pPr>
          <w:r w:rsidRPr="00AE65ED">
            <w:rPr>
              <w:b/>
              <w:bCs/>
              <w:i/>
              <w:iCs/>
              <w:position w:val="14"/>
              <w:sz w:val="16"/>
              <w:szCs w:val="16"/>
            </w:rPr>
            <w:t>URED PREDSJEDAVAJUĆEG / PREDSJEDATELJA</w:t>
          </w:r>
        </w:p>
        <w:p w14:paraId="5848D2A0" w14:textId="77777777" w:rsidR="0006437B" w:rsidRDefault="0006437B" w:rsidP="002263D5">
          <w:pPr>
            <w:pStyle w:val="NormalIndent"/>
            <w:ind w:left="0"/>
            <w:jc w:val="center"/>
            <w:rPr>
              <w:b/>
              <w:bCs/>
              <w:i/>
              <w:iCs/>
              <w:position w:val="14"/>
              <w:sz w:val="18"/>
              <w:szCs w:val="18"/>
            </w:rPr>
          </w:pPr>
          <w:r w:rsidRPr="00974EF0">
            <w:rPr>
              <w:b/>
              <w:bCs/>
              <w:i/>
              <w:iCs/>
              <w:position w:val="14"/>
              <w:sz w:val="18"/>
              <w:szCs w:val="18"/>
              <w:lang w:val="ru-RU"/>
            </w:rPr>
            <w:t>URED KOORDINATORA ZA REFORMU</w:t>
          </w:r>
        </w:p>
        <w:p w14:paraId="7CC5242E" w14:textId="77777777" w:rsidR="0006437B" w:rsidRPr="00974EF0" w:rsidRDefault="0006437B" w:rsidP="002263D5">
          <w:pPr>
            <w:pStyle w:val="NormalIndent"/>
            <w:ind w:left="0"/>
            <w:jc w:val="center"/>
            <w:rPr>
              <w:position w:val="14"/>
              <w:sz w:val="18"/>
              <w:szCs w:val="18"/>
              <w:lang w:val="ru-RU"/>
            </w:rPr>
          </w:pPr>
          <w:r w:rsidRPr="00974EF0">
            <w:rPr>
              <w:b/>
              <w:bCs/>
              <w:i/>
              <w:iCs/>
              <w:position w:val="14"/>
              <w:sz w:val="18"/>
              <w:szCs w:val="18"/>
              <w:lang w:val="ru-RU"/>
            </w:rPr>
            <w:t xml:space="preserve">JAVNE UPRAVE </w:t>
          </w:r>
        </w:p>
      </w:tc>
      <w:tc>
        <w:tcPr>
          <w:tcW w:w="1026" w:type="dxa"/>
          <w:vMerge/>
        </w:tcPr>
        <w:p w14:paraId="3209F3AB" w14:textId="77777777" w:rsidR="0006437B" w:rsidRPr="00D36898" w:rsidRDefault="0006437B" w:rsidP="002263D5">
          <w:pPr>
            <w:pStyle w:val="NormalIndent"/>
            <w:ind w:left="0"/>
            <w:rPr>
              <w:sz w:val="16"/>
              <w:lang w:val="ru-RU"/>
            </w:rPr>
          </w:pPr>
        </w:p>
      </w:tc>
      <w:tc>
        <w:tcPr>
          <w:tcW w:w="4161" w:type="dxa"/>
        </w:tcPr>
        <w:p w14:paraId="42D5C3CF" w14:textId="77777777" w:rsidR="0006437B" w:rsidRPr="00E56D64" w:rsidRDefault="0006437B" w:rsidP="002263D5">
          <w:pPr>
            <w:pStyle w:val="NormalIndent"/>
            <w:ind w:left="0"/>
            <w:jc w:val="center"/>
            <w:rPr>
              <w:b/>
              <w:bCs/>
              <w:i/>
              <w:iCs/>
              <w:position w:val="14"/>
              <w:sz w:val="16"/>
              <w:szCs w:val="16"/>
              <w:lang w:val="sr-Cyrl-BA"/>
            </w:rPr>
          </w:pPr>
          <w:r w:rsidRPr="00E56D64">
            <w:rPr>
              <w:b/>
              <w:bCs/>
              <w:i/>
              <w:iCs/>
              <w:position w:val="14"/>
              <w:sz w:val="16"/>
              <w:szCs w:val="16"/>
              <w:lang w:val="sr-Cyrl-BA"/>
            </w:rPr>
            <w:t>КАБИНЕТ ПРЕДСЈЕДАВАЈУЋЕГ</w:t>
          </w:r>
        </w:p>
        <w:p w14:paraId="1DC5AA21" w14:textId="77777777" w:rsidR="0006437B" w:rsidRPr="00974EF0" w:rsidRDefault="0006437B" w:rsidP="002263D5">
          <w:pPr>
            <w:pStyle w:val="NormalIndent"/>
            <w:ind w:left="0"/>
            <w:jc w:val="center"/>
            <w:rPr>
              <w:sz w:val="18"/>
              <w:szCs w:val="18"/>
              <w:lang w:val="ru-RU"/>
            </w:rPr>
          </w:pPr>
          <w:r w:rsidRPr="00974EF0">
            <w:rPr>
              <w:b/>
              <w:bCs/>
              <w:i/>
              <w:iCs/>
              <w:position w:val="14"/>
              <w:sz w:val="18"/>
              <w:szCs w:val="18"/>
              <w:lang w:val="ru-RU"/>
            </w:rPr>
            <w:t>КАНЦЕЛАРИЈА</w:t>
          </w:r>
          <w:r w:rsidRPr="00974EF0">
            <w:rPr>
              <w:b/>
              <w:bCs/>
              <w:i/>
              <w:iCs/>
              <w:position w:val="14"/>
              <w:sz w:val="18"/>
              <w:szCs w:val="18"/>
              <w:lang w:val="cs-CZ"/>
            </w:rPr>
            <w:t xml:space="preserve"> КООРДИНАТОРА ЗА РЕФОРМУ ЈАВНЕ УПРАВЕ</w:t>
          </w:r>
        </w:p>
      </w:tc>
    </w:tr>
  </w:tbl>
  <w:p w14:paraId="3739731B" w14:textId="77777777" w:rsidR="0006437B" w:rsidRPr="00D36898" w:rsidRDefault="0006437B">
    <w:pPr>
      <w:pStyle w:val="Header"/>
      <w:tabs>
        <w:tab w:val="clear" w:pos="4320"/>
        <w:tab w:val="clear" w:pos="8640"/>
      </w:tabs>
    </w:pPr>
  </w:p>
  <w:p w14:paraId="3201AF6C" w14:textId="77777777" w:rsidR="0006437B" w:rsidRPr="00D36898" w:rsidRDefault="0006437B">
    <w:pPr>
      <w:pStyle w:val="NormalIndent"/>
      <w:ind w:left="0"/>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B883" w14:textId="77777777" w:rsidR="0006437B" w:rsidRPr="00D36898" w:rsidRDefault="0006437B">
    <w:pPr>
      <w:pStyle w:val="Header"/>
      <w:tabs>
        <w:tab w:val="clear" w:pos="4320"/>
        <w:tab w:val="clear" w:pos="8640"/>
      </w:tabs>
    </w:pPr>
  </w:p>
  <w:p w14:paraId="51B530D0" w14:textId="77777777" w:rsidR="0006437B" w:rsidRPr="00D36898" w:rsidRDefault="0006437B">
    <w:pPr>
      <w:pStyle w:val="NormalIndent"/>
      <w:ind w:left="0"/>
      <w:rPr>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F327" w14:textId="77777777" w:rsidR="0006437B" w:rsidRPr="00D36898" w:rsidRDefault="0006437B">
    <w:pPr>
      <w:pStyle w:val="Header"/>
      <w:tabs>
        <w:tab w:val="clear" w:pos="4320"/>
        <w:tab w:val="clear" w:pos="8640"/>
      </w:tabs>
    </w:pPr>
  </w:p>
  <w:p w14:paraId="4F7396AE" w14:textId="77777777" w:rsidR="0006437B" w:rsidRPr="00D36898" w:rsidRDefault="0006437B">
    <w:pPr>
      <w:pStyle w:val="NormalIndent"/>
      <w:ind w:left="0"/>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D6B"/>
    <w:multiLevelType w:val="hybridMultilevel"/>
    <w:tmpl w:val="5A4471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2AF255B"/>
    <w:multiLevelType w:val="hybridMultilevel"/>
    <w:tmpl w:val="8134310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36761697"/>
    <w:multiLevelType w:val="hybridMultilevel"/>
    <w:tmpl w:val="983A4D5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89A1F3F"/>
    <w:multiLevelType w:val="hybridMultilevel"/>
    <w:tmpl w:val="EEE67BC4"/>
    <w:lvl w:ilvl="0" w:tplc="D642190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38D742F9"/>
    <w:multiLevelType w:val="hybridMultilevel"/>
    <w:tmpl w:val="039CE3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F060035"/>
    <w:multiLevelType w:val="hybridMultilevel"/>
    <w:tmpl w:val="47FCDF9E"/>
    <w:lvl w:ilvl="0" w:tplc="8D6604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FA4486C"/>
    <w:multiLevelType w:val="hybridMultilevel"/>
    <w:tmpl w:val="789C8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4E4845"/>
    <w:multiLevelType w:val="hybridMultilevel"/>
    <w:tmpl w:val="A7064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DD93599"/>
    <w:multiLevelType w:val="hybridMultilevel"/>
    <w:tmpl w:val="EA1CC00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57360B1C"/>
    <w:multiLevelType w:val="hybridMultilevel"/>
    <w:tmpl w:val="5936FFAE"/>
    <w:lvl w:ilvl="0" w:tplc="8C8C3E24">
      <w:start w:val="10"/>
      <w:numFmt w:val="bullet"/>
      <w:lvlText w:val="-"/>
      <w:lvlJc w:val="left"/>
      <w:pPr>
        <w:ind w:left="720" w:hanging="360"/>
      </w:pPr>
      <w:rPr>
        <w:rFonts w:ascii="Calibri" w:eastAsia="Times New Roman"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577A357F"/>
    <w:multiLevelType w:val="hybridMultilevel"/>
    <w:tmpl w:val="FEAEE72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5A4D7CB8"/>
    <w:multiLevelType w:val="hybridMultilevel"/>
    <w:tmpl w:val="F540359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746D480C"/>
    <w:multiLevelType w:val="hybridMultilevel"/>
    <w:tmpl w:val="C46C16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71503E"/>
    <w:multiLevelType w:val="hybridMultilevel"/>
    <w:tmpl w:val="D4B6C9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ED0458"/>
    <w:multiLevelType w:val="hybridMultilevel"/>
    <w:tmpl w:val="876008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6"/>
  </w:num>
  <w:num w:numId="3">
    <w:abstractNumId w:val="14"/>
  </w:num>
  <w:num w:numId="4">
    <w:abstractNumId w:val="7"/>
  </w:num>
  <w:num w:numId="5">
    <w:abstractNumId w:val="4"/>
  </w:num>
  <w:num w:numId="6">
    <w:abstractNumId w:val="0"/>
  </w:num>
  <w:num w:numId="7">
    <w:abstractNumId w:val="5"/>
  </w:num>
  <w:num w:numId="8">
    <w:abstractNumId w:val="12"/>
  </w:num>
  <w:num w:numId="9">
    <w:abstractNumId w:val="2"/>
  </w:num>
  <w:num w:numId="10">
    <w:abstractNumId w:val="11"/>
  </w:num>
  <w:num w:numId="11">
    <w:abstractNumId w:val="10"/>
  </w:num>
  <w:num w:numId="12">
    <w:abstractNumId w:val="8"/>
  </w:num>
  <w:num w:numId="13">
    <w:abstractNumId w:val="3"/>
  </w:num>
  <w:num w:numId="14">
    <w:abstractNumId w:val="1"/>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E4"/>
    <w:rsid w:val="00000325"/>
    <w:rsid w:val="00000544"/>
    <w:rsid w:val="00001258"/>
    <w:rsid w:val="00012B6A"/>
    <w:rsid w:val="0001784D"/>
    <w:rsid w:val="000218C5"/>
    <w:rsid w:val="00022501"/>
    <w:rsid w:val="00022C2D"/>
    <w:rsid w:val="000239D1"/>
    <w:rsid w:val="00026D3C"/>
    <w:rsid w:val="00053AFB"/>
    <w:rsid w:val="0006437B"/>
    <w:rsid w:val="000655A7"/>
    <w:rsid w:val="000677F3"/>
    <w:rsid w:val="00083D74"/>
    <w:rsid w:val="00090B9B"/>
    <w:rsid w:val="000917A0"/>
    <w:rsid w:val="00092CC5"/>
    <w:rsid w:val="000962DD"/>
    <w:rsid w:val="000E44AA"/>
    <w:rsid w:val="000F5FF4"/>
    <w:rsid w:val="001077B0"/>
    <w:rsid w:val="00112075"/>
    <w:rsid w:val="00126388"/>
    <w:rsid w:val="001307E2"/>
    <w:rsid w:val="00130A10"/>
    <w:rsid w:val="00134FC1"/>
    <w:rsid w:val="001403BE"/>
    <w:rsid w:val="00142392"/>
    <w:rsid w:val="0014417C"/>
    <w:rsid w:val="001467D4"/>
    <w:rsid w:val="00146CE6"/>
    <w:rsid w:val="00152E48"/>
    <w:rsid w:val="001674AC"/>
    <w:rsid w:val="001704DA"/>
    <w:rsid w:val="00170E37"/>
    <w:rsid w:val="00172491"/>
    <w:rsid w:val="00176158"/>
    <w:rsid w:val="00183848"/>
    <w:rsid w:val="00186C20"/>
    <w:rsid w:val="00191A40"/>
    <w:rsid w:val="001973FA"/>
    <w:rsid w:val="001B127B"/>
    <w:rsid w:val="001B3346"/>
    <w:rsid w:val="001D01D2"/>
    <w:rsid w:val="001E22E3"/>
    <w:rsid w:val="001F4EB3"/>
    <w:rsid w:val="00205793"/>
    <w:rsid w:val="0021045B"/>
    <w:rsid w:val="00224809"/>
    <w:rsid w:val="002263D5"/>
    <w:rsid w:val="00254928"/>
    <w:rsid w:val="00260976"/>
    <w:rsid w:val="00260CC5"/>
    <w:rsid w:val="00267E22"/>
    <w:rsid w:val="002725FD"/>
    <w:rsid w:val="00273265"/>
    <w:rsid w:val="002738E6"/>
    <w:rsid w:val="00275489"/>
    <w:rsid w:val="002773FD"/>
    <w:rsid w:val="00281B2E"/>
    <w:rsid w:val="002906A5"/>
    <w:rsid w:val="0029779C"/>
    <w:rsid w:val="002A00E9"/>
    <w:rsid w:val="002A3A5D"/>
    <w:rsid w:val="002A5FF2"/>
    <w:rsid w:val="002B29F7"/>
    <w:rsid w:val="002C20D2"/>
    <w:rsid w:val="002D4932"/>
    <w:rsid w:val="002E743A"/>
    <w:rsid w:val="003106AD"/>
    <w:rsid w:val="003230D7"/>
    <w:rsid w:val="00344982"/>
    <w:rsid w:val="00350BEB"/>
    <w:rsid w:val="00352EEB"/>
    <w:rsid w:val="00356706"/>
    <w:rsid w:val="00357281"/>
    <w:rsid w:val="003868EF"/>
    <w:rsid w:val="00386DBB"/>
    <w:rsid w:val="00390037"/>
    <w:rsid w:val="00390BF4"/>
    <w:rsid w:val="00390FE3"/>
    <w:rsid w:val="0039190B"/>
    <w:rsid w:val="003B4DE9"/>
    <w:rsid w:val="003B7A6B"/>
    <w:rsid w:val="003C2FE5"/>
    <w:rsid w:val="003C3559"/>
    <w:rsid w:val="003C3DAA"/>
    <w:rsid w:val="003E2EC9"/>
    <w:rsid w:val="003F6D0C"/>
    <w:rsid w:val="004027D5"/>
    <w:rsid w:val="004052A7"/>
    <w:rsid w:val="00405C94"/>
    <w:rsid w:val="00406EB7"/>
    <w:rsid w:val="0041144E"/>
    <w:rsid w:val="004125E8"/>
    <w:rsid w:val="00423037"/>
    <w:rsid w:val="004230B6"/>
    <w:rsid w:val="00425DFD"/>
    <w:rsid w:val="00426876"/>
    <w:rsid w:val="004534F0"/>
    <w:rsid w:val="00467B38"/>
    <w:rsid w:val="00473440"/>
    <w:rsid w:val="00482580"/>
    <w:rsid w:val="00492283"/>
    <w:rsid w:val="004B5DAE"/>
    <w:rsid w:val="004C06A0"/>
    <w:rsid w:val="004C06FD"/>
    <w:rsid w:val="004C5A3F"/>
    <w:rsid w:val="004E4A6E"/>
    <w:rsid w:val="004F2048"/>
    <w:rsid w:val="004F46C2"/>
    <w:rsid w:val="004F73A2"/>
    <w:rsid w:val="005020F0"/>
    <w:rsid w:val="00503DD3"/>
    <w:rsid w:val="00512FE4"/>
    <w:rsid w:val="0052474C"/>
    <w:rsid w:val="00556BB6"/>
    <w:rsid w:val="0056237D"/>
    <w:rsid w:val="005735F8"/>
    <w:rsid w:val="005739F1"/>
    <w:rsid w:val="00574531"/>
    <w:rsid w:val="00582572"/>
    <w:rsid w:val="005838A2"/>
    <w:rsid w:val="00585301"/>
    <w:rsid w:val="005874C2"/>
    <w:rsid w:val="00595F3B"/>
    <w:rsid w:val="005A449A"/>
    <w:rsid w:val="005A75D9"/>
    <w:rsid w:val="005B28CA"/>
    <w:rsid w:val="005C2146"/>
    <w:rsid w:val="005C4970"/>
    <w:rsid w:val="005D56E7"/>
    <w:rsid w:val="005E03A4"/>
    <w:rsid w:val="005E429F"/>
    <w:rsid w:val="005F00FB"/>
    <w:rsid w:val="0060159F"/>
    <w:rsid w:val="00602403"/>
    <w:rsid w:val="006028D2"/>
    <w:rsid w:val="00603388"/>
    <w:rsid w:val="0061566C"/>
    <w:rsid w:val="00630B77"/>
    <w:rsid w:val="00631638"/>
    <w:rsid w:val="006334BC"/>
    <w:rsid w:val="00640855"/>
    <w:rsid w:val="00640F05"/>
    <w:rsid w:val="00642586"/>
    <w:rsid w:val="00642640"/>
    <w:rsid w:val="006476AC"/>
    <w:rsid w:val="006538E4"/>
    <w:rsid w:val="00655756"/>
    <w:rsid w:val="0066741C"/>
    <w:rsid w:val="0067255F"/>
    <w:rsid w:val="006739B2"/>
    <w:rsid w:val="006833F3"/>
    <w:rsid w:val="00686369"/>
    <w:rsid w:val="00695EE6"/>
    <w:rsid w:val="00696116"/>
    <w:rsid w:val="006978DC"/>
    <w:rsid w:val="006A4530"/>
    <w:rsid w:val="006A5626"/>
    <w:rsid w:val="006B3EB7"/>
    <w:rsid w:val="006B471A"/>
    <w:rsid w:val="006C593F"/>
    <w:rsid w:val="006C7A7C"/>
    <w:rsid w:val="006E3E04"/>
    <w:rsid w:val="006F09C3"/>
    <w:rsid w:val="006F14DD"/>
    <w:rsid w:val="00700CDC"/>
    <w:rsid w:val="0070725A"/>
    <w:rsid w:val="0071328C"/>
    <w:rsid w:val="007151FF"/>
    <w:rsid w:val="00717CD8"/>
    <w:rsid w:val="00720187"/>
    <w:rsid w:val="007210F6"/>
    <w:rsid w:val="007211C7"/>
    <w:rsid w:val="00731607"/>
    <w:rsid w:val="00734051"/>
    <w:rsid w:val="00741D33"/>
    <w:rsid w:val="00743BBA"/>
    <w:rsid w:val="0074542E"/>
    <w:rsid w:val="00746BD3"/>
    <w:rsid w:val="00751716"/>
    <w:rsid w:val="007556C0"/>
    <w:rsid w:val="00760031"/>
    <w:rsid w:val="00761B1F"/>
    <w:rsid w:val="00762563"/>
    <w:rsid w:val="00762E48"/>
    <w:rsid w:val="0078084C"/>
    <w:rsid w:val="007926C6"/>
    <w:rsid w:val="00793DC8"/>
    <w:rsid w:val="007B4486"/>
    <w:rsid w:val="007B668D"/>
    <w:rsid w:val="007B7806"/>
    <w:rsid w:val="007C3150"/>
    <w:rsid w:val="007C6F81"/>
    <w:rsid w:val="007E148E"/>
    <w:rsid w:val="007E5F9D"/>
    <w:rsid w:val="007E6555"/>
    <w:rsid w:val="007F15FF"/>
    <w:rsid w:val="008068DD"/>
    <w:rsid w:val="0081026E"/>
    <w:rsid w:val="0082309D"/>
    <w:rsid w:val="008526A4"/>
    <w:rsid w:val="00854ADD"/>
    <w:rsid w:val="00857A5E"/>
    <w:rsid w:val="00861C66"/>
    <w:rsid w:val="008643EF"/>
    <w:rsid w:val="0088171D"/>
    <w:rsid w:val="0088286F"/>
    <w:rsid w:val="00890632"/>
    <w:rsid w:val="008935D2"/>
    <w:rsid w:val="008A2CFC"/>
    <w:rsid w:val="008B0599"/>
    <w:rsid w:val="008C15CE"/>
    <w:rsid w:val="008C1FFE"/>
    <w:rsid w:val="008E0C80"/>
    <w:rsid w:val="008E7E87"/>
    <w:rsid w:val="008F2280"/>
    <w:rsid w:val="008F4B54"/>
    <w:rsid w:val="008F78F2"/>
    <w:rsid w:val="00902264"/>
    <w:rsid w:val="009127E0"/>
    <w:rsid w:val="00920EB8"/>
    <w:rsid w:val="0092100F"/>
    <w:rsid w:val="00926C9C"/>
    <w:rsid w:val="00941D19"/>
    <w:rsid w:val="00943900"/>
    <w:rsid w:val="00944D4C"/>
    <w:rsid w:val="0095096E"/>
    <w:rsid w:val="009537F1"/>
    <w:rsid w:val="00956743"/>
    <w:rsid w:val="00974EF0"/>
    <w:rsid w:val="00977868"/>
    <w:rsid w:val="0098061A"/>
    <w:rsid w:val="0099379A"/>
    <w:rsid w:val="009A1BF8"/>
    <w:rsid w:val="009A710B"/>
    <w:rsid w:val="009B0A3B"/>
    <w:rsid w:val="009B5B1F"/>
    <w:rsid w:val="009C5368"/>
    <w:rsid w:val="009C7D10"/>
    <w:rsid w:val="009D5A3C"/>
    <w:rsid w:val="009D6362"/>
    <w:rsid w:val="009D6E0E"/>
    <w:rsid w:val="009E2DE9"/>
    <w:rsid w:val="009E4219"/>
    <w:rsid w:val="009E7823"/>
    <w:rsid w:val="009F0765"/>
    <w:rsid w:val="009F31D9"/>
    <w:rsid w:val="009F4140"/>
    <w:rsid w:val="00A00006"/>
    <w:rsid w:val="00A0387C"/>
    <w:rsid w:val="00A05A9C"/>
    <w:rsid w:val="00A20473"/>
    <w:rsid w:val="00A36421"/>
    <w:rsid w:val="00A50320"/>
    <w:rsid w:val="00A54050"/>
    <w:rsid w:val="00A54BFC"/>
    <w:rsid w:val="00A64F18"/>
    <w:rsid w:val="00A71DDB"/>
    <w:rsid w:val="00A813B0"/>
    <w:rsid w:val="00AA76DD"/>
    <w:rsid w:val="00AC3EB3"/>
    <w:rsid w:val="00AC500B"/>
    <w:rsid w:val="00AC6E8A"/>
    <w:rsid w:val="00AC7F6C"/>
    <w:rsid w:val="00AD0C57"/>
    <w:rsid w:val="00AE1F8F"/>
    <w:rsid w:val="00AE4A9B"/>
    <w:rsid w:val="00AE65ED"/>
    <w:rsid w:val="00AF5E8B"/>
    <w:rsid w:val="00B04B5F"/>
    <w:rsid w:val="00B10D19"/>
    <w:rsid w:val="00B14469"/>
    <w:rsid w:val="00B25F30"/>
    <w:rsid w:val="00B36BC6"/>
    <w:rsid w:val="00B46791"/>
    <w:rsid w:val="00B56B24"/>
    <w:rsid w:val="00B600DA"/>
    <w:rsid w:val="00B675F2"/>
    <w:rsid w:val="00B86D02"/>
    <w:rsid w:val="00BA7D86"/>
    <w:rsid w:val="00BB22CF"/>
    <w:rsid w:val="00BB23BD"/>
    <w:rsid w:val="00BB2DAE"/>
    <w:rsid w:val="00BD0C5C"/>
    <w:rsid w:val="00BD3E64"/>
    <w:rsid w:val="00BD4506"/>
    <w:rsid w:val="00BE353C"/>
    <w:rsid w:val="00BF366A"/>
    <w:rsid w:val="00C044AE"/>
    <w:rsid w:val="00C13851"/>
    <w:rsid w:val="00C30B51"/>
    <w:rsid w:val="00C40405"/>
    <w:rsid w:val="00C45BC2"/>
    <w:rsid w:val="00C47C58"/>
    <w:rsid w:val="00C52E99"/>
    <w:rsid w:val="00C53672"/>
    <w:rsid w:val="00C6071C"/>
    <w:rsid w:val="00C64EBB"/>
    <w:rsid w:val="00C67E83"/>
    <w:rsid w:val="00C73A64"/>
    <w:rsid w:val="00C73DAF"/>
    <w:rsid w:val="00C7587F"/>
    <w:rsid w:val="00C812A2"/>
    <w:rsid w:val="00C8397D"/>
    <w:rsid w:val="00C92899"/>
    <w:rsid w:val="00CB1E49"/>
    <w:rsid w:val="00CC51FD"/>
    <w:rsid w:val="00CD26F3"/>
    <w:rsid w:val="00CD33DD"/>
    <w:rsid w:val="00CE435E"/>
    <w:rsid w:val="00D00194"/>
    <w:rsid w:val="00D021CC"/>
    <w:rsid w:val="00D03640"/>
    <w:rsid w:val="00D14239"/>
    <w:rsid w:val="00D14B45"/>
    <w:rsid w:val="00D220EF"/>
    <w:rsid w:val="00D24AA3"/>
    <w:rsid w:val="00D34F21"/>
    <w:rsid w:val="00D35A46"/>
    <w:rsid w:val="00D435C9"/>
    <w:rsid w:val="00D44365"/>
    <w:rsid w:val="00D46E91"/>
    <w:rsid w:val="00D47297"/>
    <w:rsid w:val="00D541C8"/>
    <w:rsid w:val="00D84C31"/>
    <w:rsid w:val="00D9177A"/>
    <w:rsid w:val="00D942D7"/>
    <w:rsid w:val="00DA146B"/>
    <w:rsid w:val="00DC66D8"/>
    <w:rsid w:val="00DD1566"/>
    <w:rsid w:val="00DD17ED"/>
    <w:rsid w:val="00DD2BCA"/>
    <w:rsid w:val="00DD4760"/>
    <w:rsid w:val="00DD51CA"/>
    <w:rsid w:val="00DE0AD4"/>
    <w:rsid w:val="00E04637"/>
    <w:rsid w:val="00E07236"/>
    <w:rsid w:val="00E139E3"/>
    <w:rsid w:val="00E24023"/>
    <w:rsid w:val="00E36E1B"/>
    <w:rsid w:val="00E542E2"/>
    <w:rsid w:val="00E56D64"/>
    <w:rsid w:val="00E6340C"/>
    <w:rsid w:val="00E659EF"/>
    <w:rsid w:val="00E724D0"/>
    <w:rsid w:val="00E925B3"/>
    <w:rsid w:val="00E954B5"/>
    <w:rsid w:val="00E96742"/>
    <w:rsid w:val="00EA0DC6"/>
    <w:rsid w:val="00EA3A89"/>
    <w:rsid w:val="00EC417B"/>
    <w:rsid w:val="00EC55FF"/>
    <w:rsid w:val="00ED2777"/>
    <w:rsid w:val="00ED2C78"/>
    <w:rsid w:val="00ED6AC6"/>
    <w:rsid w:val="00ED7465"/>
    <w:rsid w:val="00EE2920"/>
    <w:rsid w:val="00EF5C8E"/>
    <w:rsid w:val="00EF6254"/>
    <w:rsid w:val="00F014EF"/>
    <w:rsid w:val="00F14AD0"/>
    <w:rsid w:val="00F241F3"/>
    <w:rsid w:val="00F24F68"/>
    <w:rsid w:val="00F25767"/>
    <w:rsid w:val="00F27907"/>
    <w:rsid w:val="00F3206D"/>
    <w:rsid w:val="00F37E2E"/>
    <w:rsid w:val="00F46389"/>
    <w:rsid w:val="00F507AE"/>
    <w:rsid w:val="00F50FD7"/>
    <w:rsid w:val="00F52C2A"/>
    <w:rsid w:val="00F53AB2"/>
    <w:rsid w:val="00F559E7"/>
    <w:rsid w:val="00F623FB"/>
    <w:rsid w:val="00F6462C"/>
    <w:rsid w:val="00F67C60"/>
    <w:rsid w:val="00F741E1"/>
    <w:rsid w:val="00F80454"/>
    <w:rsid w:val="00F9563A"/>
    <w:rsid w:val="00F95F9E"/>
    <w:rsid w:val="00FA3490"/>
    <w:rsid w:val="00FA3C52"/>
    <w:rsid w:val="00FB05FC"/>
    <w:rsid w:val="00FC3B01"/>
    <w:rsid w:val="00FC71A6"/>
    <w:rsid w:val="00FD0F57"/>
    <w:rsid w:val="00FD1F9A"/>
    <w:rsid w:val="00FE46A4"/>
    <w:rsid w:val="00FE77A9"/>
    <w:rsid w:val="00FF588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6BCC4"/>
  <w15:chartTrackingRefBased/>
  <w15:docId w15:val="{FEB014D5-04E8-4EFD-B192-8A8C38D0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F51"/>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keepLines/>
      <w:tabs>
        <w:tab w:val="center" w:pos="4320"/>
        <w:tab w:val="right" w:pos="8640"/>
      </w:tabs>
      <w:spacing w:before="600" w:line="240" w:lineRule="atLeast"/>
      <w:ind w:right="-240"/>
      <w:jc w:val="center"/>
    </w:pPr>
    <w:rPr>
      <w:rFonts w:ascii="Garamond" w:hAnsi="Garamond"/>
      <w:kern w:val="18"/>
      <w:sz w:val="22"/>
    </w:rPr>
  </w:style>
  <w:style w:type="paragraph" w:styleId="NormalIndent">
    <w:name w:val="Normal Indent"/>
    <w:basedOn w:val="Normal"/>
    <w:pPr>
      <w:ind w:left="720"/>
    </w:pPr>
  </w:style>
  <w:style w:type="character" w:styleId="PageNumber">
    <w:name w:val="page number"/>
  </w:style>
  <w:style w:type="paragraph" w:styleId="Header">
    <w:name w:val="header"/>
    <w:basedOn w:val="Normal"/>
    <w:pPr>
      <w:tabs>
        <w:tab w:val="center" w:pos="4320"/>
        <w:tab w:val="right" w:pos="8640"/>
      </w:tabs>
    </w:pPr>
  </w:style>
  <w:style w:type="character" w:styleId="Hyperlink">
    <w:name w:val="Hyperlink"/>
    <w:uiPriority w:val="99"/>
    <w:rsid w:val="00CD6BB1"/>
    <w:rPr>
      <w:color w:val="0000FF"/>
      <w:u w:val="single"/>
    </w:rPr>
  </w:style>
  <w:style w:type="paragraph" w:styleId="BalloonText">
    <w:name w:val="Balloon Text"/>
    <w:basedOn w:val="Normal"/>
    <w:semiHidden/>
    <w:rsid w:val="00853A8E"/>
    <w:rPr>
      <w:rFonts w:ascii="Lucida Grande" w:hAnsi="Lucida Grande"/>
      <w:sz w:val="18"/>
      <w:szCs w:val="18"/>
    </w:rPr>
  </w:style>
  <w:style w:type="paragraph" w:styleId="BodyTextIndent">
    <w:name w:val="Body Text Indent"/>
    <w:basedOn w:val="Normal"/>
    <w:rsid w:val="00142392"/>
    <w:pPr>
      <w:ind w:firstLine="720"/>
      <w:jc w:val="both"/>
    </w:pPr>
    <w:rPr>
      <w:rFonts w:ascii="Arial" w:hAnsi="Arial" w:cs="Arial"/>
      <w:sz w:val="22"/>
      <w:lang w:eastAsia="en-US"/>
    </w:rPr>
  </w:style>
  <w:style w:type="paragraph" w:styleId="FootnoteText">
    <w:name w:val="footnote text"/>
    <w:basedOn w:val="Normal"/>
    <w:link w:val="FootnoteTextChar"/>
    <w:rsid w:val="009D6E0E"/>
    <w:rPr>
      <w:sz w:val="20"/>
      <w:szCs w:val="20"/>
    </w:rPr>
  </w:style>
  <w:style w:type="character" w:customStyle="1" w:styleId="FootnoteTextChar">
    <w:name w:val="Footnote Text Char"/>
    <w:link w:val="FootnoteText"/>
    <w:rsid w:val="009D6E0E"/>
    <w:rPr>
      <w:lang w:val="hr-HR" w:eastAsia="hr-HR"/>
    </w:rPr>
  </w:style>
  <w:style w:type="character" w:styleId="FootnoteReference">
    <w:name w:val="footnote reference"/>
    <w:rsid w:val="009D6E0E"/>
    <w:rPr>
      <w:vertAlign w:val="superscript"/>
    </w:rPr>
  </w:style>
  <w:style w:type="paragraph" w:styleId="CommentText">
    <w:name w:val="annotation text"/>
    <w:basedOn w:val="Normal"/>
    <w:link w:val="CommentTextChar"/>
    <w:rsid w:val="009D6E0E"/>
    <w:rPr>
      <w:sz w:val="20"/>
      <w:szCs w:val="20"/>
    </w:rPr>
  </w:style>
  <w:style w:type="character" w:customStyle="1" w:styleId="CommentTextChar">
    <w:name w:val="Comment Text Char"/>
    <w:link w:val="CommentText"/>
    <w:rsid w:val="009D6E0E"/>
    <w:rPr>
      <w:lang w:val="hr-HR" w:eastAsia="hr-HR"/>
    </w:rPr>
  </w:style>
  <w:style w:type="character" w:customStyle="1" w:styleId="highlight">
    <w:name w:val="highlight"/>
    <w:rsid w:val="009D6E0E"/>
  </w:style>
  <w:style w:type="character" w:customStyle="1" w:styleId="st">
    <w:name w:val="st"/>
    <w:rsid w:val="00426876"/>
  </w:style>
  <w:style w:type="paragraph" w:styleId="ListParagraph">
    <w:name w:val="List Paragraph"/>
    <w:basedOn w:val="Normal"/>
    <w:uiPriority w:val="34"/>
    <w:qFormat/>
    <w:rsid w:val="00E139E3"/>
    <w:pPr>
      <w:spacing w:after="200" w:line="276" w:lineRule="auto"/>
      <w:ind w:left="720"/>
      <w:contextualSpacing/>
    </w:pPr>
    <w:rPr>
      <w:rFonts w:ascii="Calibri" w:eastAsia="Calibri" w:hAnsi="Calibri"/>
      <w:sz w:val="22"/>
      <w:szCs w:val="22"/>
      <w:lang w:val="bs-Latn-BA" w:eastAsia="en-US"/>
    </w:rPr>
  </w:style>
  <w:style w:type="table" w:styleId="TableGrid">
    <w:name w:val="Table Grid"/>
    <w:basedOn w:val="TableNormal"/>
    <w:uiPriority w:val="59"/>
    <w:rsid w:val="00647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21CC"/>
    <w:pPr>
      <w:spacing w:before="100" w:beforeAutospacing="1" w:after="100" w:afterAutospacing="1"/>
    </w:pPr>
    <w:rPr>
      <w:lang w:val="bs-Latn-BA" w:eastAsia="bs-Latn-BA"/>
    </w:rPr>
  </w:style>
  <w:style w:type="character" w:styleId="CommentReference">
    <w:name w:val="annotation reference"/>
    <w:rsid w:val="00267E22"/>
    <w:rPr>
      <w:sz w:val="16"/>
      <w:szCs w:val="16"/>
    </w:rPr>
  </w:style>
  <w:style w:type="paragraph" w:styleId="CommentSubject">
    <w:name w:val="annotation subject"/>
    <w:basedOn w:val="CommentText"/>
    <w:next w:val="CommentText"/>
    <w:link w:val="CommentSubjectChar"/>
    <w:rsid w:val="00267E22"/>
    <w:rPr>
      <w:b/>
      <w:bCs/>
    </w:rPr>
  </w:style>
  <w:style w:type="character" w:customStyle="1" w:styleId="CommentSubjectChar">
    <w:name w:val="Comment Subject Char"/>
    <w:link w:val="CommentSubject"/>
    <w:rsid w:val="00267E22"/>
    <w:rPr>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5853">
      <w:bodyDiv w:val="1"/>
      <w:marLeft w:val="0"/>
      <w:marRight w:val="0"/>
      <w:marTop w:val="0"/>
      <w:marBottom w:val="0"/>
      <w:divBdr>
        <w:top w:val="none" w:sz="0" w:space="0" w:color="auto"/>
        <w:left w:val="none" w:sz="0" w:space="0" w:color="auto"/>
        <w:bottom w:val="none" w:sz="0" w:space="0" w:color="auto"/>
        <w:right w:val="none" w:sz="0" w:space="0" w:color="auto"/>
      </w:divBdr>
    </w:div>
    <w:div w:id="187724129">
      <w:bodyDiv w:val="1"/>
      <w:marLeft w:val="0"/>
      <w:marRight w:val="0"/>
      <w:marTop w:val="0"/>
      <w:marBottom w:val="0"/>
      <w:divBdr>
        <w:top w:val="none" w:sz="0" w:space="0" w:color="auto"/>
        <w:left w:val="none" w:sz="0" w:space="0" w:color="auto"/>
        <w:bottom w:val="none" w:sz="0" w:space="0" w:color="auto"/>
        <w:right w:val="none" w:sz="0" w:space="0" w:color="auto"/>
      </w:divBdr>
    </w:div>
    <w:div w:id="211039410">
      <w:bodyDiv w:val="1"/>
      <w:marLeft w:val="0"/>
      <w:marRight w:val="0"/>
      <w:marTop w:val="0"/>
      <w:marBottom w:val="0"/>
      <w:divBdr>
        <w:top w:val="none" w:sz="0" w:space="0" w:color="auto"/>
        <w:left w:val="none" w:sz="0" w:space="0" w:color="auto"/>
        <w:bottom w:val="none" w:sz="0" w:space="0" w:color="auto"/>
        <w:right w:val="none" w:sz="0" w:space="0" w:color="auto"/>
      </w:divBdr>
    </w:div>
    <w:div w:id="352341338">
      <w:bodyDiv w:val="1"/>
      <w:marLeft w:val="0"/>
      <w:marRight w:val="0"/>
      <w:marTop w:val="0"/>
      <w:marBottom w:val="0"/>
      <w:divBdr>
        <w:top w:val="none" w:sz="0" w:space="0" w:color="auto"/>
        <w:left w:val="none" w:sz="0" w:space="0" w:color="auto"/>
        <w:bottom w:val="none" w:sz="0" w:space="0" w:color="auto"/>
        <w:right w:val="none" w:sz="0" w:space="0" w:color="auto"/>
      </w:divBdr>
    </w:div>
    <w:div w:id="466162481">
      <w:bodyDiv w:val="1"/>
      <w:marLeft w:val="0"/>
      <w:marRight w:val="0"/>
      <w:marTop w:val="0"/>
      <w:marBottom w:val="0"/>
      <w:divBdr>
        <w:top w:val="none" w:sz="0" w:space="0" w:color="auto"/>
        <w:left w:val="none" w:sz="0" w:space="0" w:color="auto"/>
        <w:bottom w:val="none" w:sz="0" w:space="0" w:color="auto"/>
        <w:right w:val="none" w:sz="0" w:space="0" w:color="auto"/>
      </w:divBdr>
    </w:div>
    <w:div w:id="576332185">
      <w:bodyDiv w:val="1"/>
      <w:marLeft w:val="0"/>
      <w:marRight w:val="0"/>
      <w:marTop w:val="0"/>
      <w:marBottom w:val="0"/>
      <w:divBdr>
        <w:top w:val="none" w:sz="0" w:space="0" w:color="auto"/>
        <w:left w:val="none" w:sz="0" w:space="0" w:color="auto"/>
        <w:bottom w:val="none" w:sz="0" w:space="0" w:color="auto"/>
        <w:right w:val="none" w:sz="0" w:space="0" w:color="auto"/>
      </w:divBdr>
    </w:div>
    <w:div w:id="775174746">
      <w:bodyDiv w:val="1"/>
      <w:marLeft w:val="0"/>
      <w:marRight w:val="0"/>
      <w:marTop w:val="0"/>
      <w:marBottom w:val="0"/>
      <w:divBdr>
        <w:top w:val="none" w:sz="0" w:space="0" w:color="auto"/>
        <w:left w:val="none" w:sz="0" w:space="0" w:color="auto"/>
        <w:bottom w:val="none" w:sz="0" w:space="0" w:color="auto"/>
        <w:right w:val="none" w:sz="0" w:space="0" w:color="auto"/>
      </w:divBdr>
    </w:div>
    <w:div w:id="833836067">
      <w:bodyDiv w:val="1"/>
      <w:marLeft w:val="0"/>
      <w:marRight w:val="0"/>
      <w:marTop w:val="0"/>
      <w:marBottom w:val="0"/>
      <w:divBdr>
        <w:top w:val="none" w:sz="0" w:space="0" w:color="auto"/>
        <w:left w:val="none" w:sz="0" w:space="0" w:color="auto"/>
        <w:bottom w:val="none" w:sz="0" w:space="0" w:color="auto"/>
        <w:right w:val="none" w:sz="0" w:space="0" w:color="auto"/>
      </w:divBdr>
    </w:div>
    <w:div w:id="1014381287">
      <w:bodyDiv w:val="1"/>
      <w:marLeft w:val="0"/>
      <w:marRight w:val="0"/>
      <w:marTop w:val="0"/>
      <w:marBottom w:val="0"/>
      <w:divBdr>
        <w:top w:val="none" w:sz="0" w:space="0" w:color="auto"/>
        <w:left w:val="none" w:sz="0" w:space="0" w:color="auto"/>
        <w:bottom w:val="none" w:sz="0" w:space="0" w:color="auto"/>
        <w:right w:val="none" w:sz="0" w:space="0" w:color="auto"/>
      </w:divBdr>
    </w:div>
    <w:div w:id="1167090952">
      <w:bodyDiv w:val="1"/>
      <w:marLeft w:val="0"/>
      <w:marRight w:val="0"/>
      <w:marTop w:val="0"/>
      <w:marBottom w:val="0"/>
      <w:divBdr>
        <w:top w:val="none" w:sz="0" w:space="0" w:color="auto"/>
        <w:left w:val="none" w:sz="0" w:space="0" w:color="auto"/>
        <w:bottom w:val="none" w:sz="0" w:space="0" w:color="auto"/>
        <w:right w:val="none" w:sz="0" w:space="0" w:color="auto"/>
      </w:divBdr>
    </w:div>
    <w:div w:id="1229073882">
      <w:bodyDiv w:val="1"/>
      <w:marLeft w:val="0"/>
      <w:marRight w:val="0"/>
      <w:marTop w:val="0"/>
      <w:marBottom w:val="0"/>
      <w:divBdr>
        <w:top w:val="none" w:sz="0" w:space="0" w:color="auto"/>
        <w:left w:val="none" w:sz="0" w:space="0" w:color="auto"/>
        <w:bottom w:val="none" w:sz="0" w:space="0" w:color="auto"/>
        <w:right w:val="none" w:sz="0" w:space="0" w:color="auto"/>
      </w:divBdr>
    </w:div>
    <w:div w:id="1391423816">
      <w:bodyDiv w:val="1"/>
      <w:marLeft w:val="0"/>
      <w:marRight w:val="0"/>
      <w:marTop w:val="0"/>
      <w:marBottom w:val="0"/>
      <w:divBdr>
        <w:top w:val="none" w:sz="0" w:space="0" w:color="auto"/>
        <w:left w:val="none" w:sz="0" w:space="0" w:color="auto"/>
        <w:bottom w:val="none" w:sz="0" w:space="0" w:color="auto"/>
        <w:right w:val="none" w:sz="0" w:space="0" w:color="auto"/>
      </w:divBdr>
    </w:div>
    <w:div w:id="1443455643">
      <w:bodyDiv w:val="1"/>
      <w:marLeft w:val="0"/>
      <w:marRight w:val="0"/>
      <w:marTop w:val="0"/>
      <w:marBottom w:val="0"/>
      <w:divBdr>
        <w:top w:val="none" w:sz="0" w:space="0" w:color="auto"/>
        <w:left w:val="none" w:sz="0" w:space="0" w:color="auto"/>
        <w:bottom w:val="none" w:sz="0" w:space="0" w:color="auto"/>
        <w:right w:val="none" w:sz="0" w:space="0" w:color="auto"/>
      </w:divBdr>
    </w:div>
    <w:div w:id="1537155822">
      <w:bodyDiv w:val="1"/>
      <w:marLeft w:val="0"/>
      <w:marRight w:val="0"/>
      <w:marTop w:val="0"/>
      <w:marBottom w:val="0"/>
      <w:divBdr>
        <w:top w:val="none" w:sz="0" w:space="0" w:color="auto"/>
        <w:left w:val="none" w:sz="0" w:space="0" w:color="auto"/>
        <w:bottom w:val="none" w:sz="0" w:space="0" w:color="auto"/>
        <w:right w:val="none" w:sz="0" w:space="0" w:color="auto"/>
      </w:divBdr>
    </w:div>
    <w:div w:id="1538815432">
      <w:bodyDiv w:val="1"/>
      <w:marLeft w:val="0"/>
      <w:marRight w:val="0"/>
      <w:marTop w:val="0"/>
      <w:marBottom w:val="0"/>
      <w:divBdr>
        <w:top w:val="none" w:sz="0" w:space="0" w:color="auto"/>
        <w:left w:val="none" w:sz="0" w:space="0" w:color="auto"/>
        <w:bottom w:val="none" w:sz="0" w:space="0" w:color="auto"/>
        <w:right w:val="none" w:sz="0" w:space="0" w:color="auto"/>
      </w:divBdr>
    </w:div>
    <w:div w:id="1708530810">
      <w:bodyDiv w:val="1"/>
      <w:marLeft w:val="0"/>
      <w:marRight w:val="0"/>
      <w:marTop w:val="0"/>
      <w:marBottom w:val="0"/>
      <w:divBdr>
        <w:top w:val="none" w:sz="0" w:space="0" w:color="auto"/>
        <w:left w:val="none" w:sz="0" w:space="0" w:color="auto"/>
        <w:bottom w:val="none" w:sz="0" w:space="0" w:color="auto"/>
        <w:right w:val="none" w:sz="0" w:space="0" w:color="auto"/>
      </w:divBdr>
    </w:div>
    <w:div w:id="1941908566">
      <w:bodyDiv w:val="1"/>
      <w:marLeft w:val="0"/>
      <w:marRight w:val="0"/>
      <w:marTop w:val="0"/>
      <w:marBottom w:val="0"/>
      <w:divBdr>
        <w:top w:val="none" w:sz="0" w:space="0" w:color="auto"/>
        <w:left w:val="none" w:sz="0" w:space="0" w:color="auto"/>
        <w:bottom w:val="none" w:sz="0" w:space="0" w:color="auto"/>
        <w:right w:val="none" w:sz="0" w:space="0" w:color="auto"/>
      </w:divBdr>
    </w:div>
    <w:div w:id="19623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6F9F5-7A18-4FA3-A474-DE85C866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4584</Words>
  <Characters>26133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memorandum PARCO</vt:lpstr>
    </vt:vector>
  </TitlesOfParts>
  <Company>PARCO</Company>
  <LinksUpToDate>false</LinksUpToDate>
  <CharactersWithSpaces>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PARCO</dc:title>
  <dc:subject/>
  <dc:creator>Vedrana Faladzic</dc:creator>
  <cp:keywords/>
  <cp:lastModifiedBy>Vedrana Faladzic</cp:lastModifiedBy>
  <cp:revision>2</cp:revision>
  <cp:lastPrinted>2023-12-29T10:27:00Z</cp:lastPrinted>
  <dcterms:created xsi:type="dcterms:W3CDTF">2024-02-28T11:05:00Z</dcterms:created>
  <dcterms:modified xsi:type="dcterms:W3CDTF">2024-02-28T11:05:00Z</dcterms:modified>
</cp:coreProperties>
</file>